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1C94" w:rsidRDefault="005E2CD2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6/2025. (IV. 24.) önkormányzati rendelete</w:t>
      </w:r>
    </w:p>
    <w:p w:rsidR="001F1C94" w:rsidRDefault="005E2CD2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egyes szociális ellátásokról és szolgáltatásokról szóló 12/2021. (V. 14.) önkormányzati rendelet módosításáról</w:t>
      </w:r>
    </w:p>
    <w:p w:rsidR="001F1C94" w:rsidRDefault="005E2CD2">
      <w:pPr>
        <w:pStyle w:val="Szvegtrzs"/>
        <w:spacing w:after="0" w:line="240" w:lineRule="auto"/>
        <w:jc w:val="both"/>
      </w:pPr>
      <w:r>
        <w:t>[1] Zalaszentgrót Város Önkormányzata Képviselő-testülete helyi közösség tagjai iránt érzett társadalmi és szociális felelőssége alapján a helyi közösség érdekeit szem előtt tartva az emberi méltóság, a szolidaritás elveinek érvényre juttatása, a rászorulók, idősek, gyermekek és hátrányos helyzetű családok életkörülményeinek javítását és támogatását az egyes települési támogatások szabályainak módosításával biztosítja.</w:t>
      </w:r>
    </w:p>
    <w:p w:rsidR="001F1C94" w:rsidRDefault="005E2CD2">
      <w:pPr>
        <w:pStyle w:val="Szvegtrzs"/>
        <w:spacing w:before="120" w:after="0" w:line="240" w:lineRule="auto"/>
        <w:jc w:val="both"/>
      </w:pPr>
      <w:r>
        <w:t>[2] Zalaszentgrót Város Önkormányzatának Képviselő-testülete az Alaptörvény 32. cikk (2) bekezdésében és a szociális igazgatásról és szociális ellátásokról szóló 1993. évi III. törvény 92. § (1) bekezdésében, valamint 132. § (4) bekezdésének g) pontjában kapott felhatalmazás alapján, a Magyarország helyi önkormányzatairól szóló 2011. évi CLXXXIX. törvény 13. § (1) bekezdésének 8. és 8a. pontjaiban meghatározott feladatkörében eljárva az egyes szociális ellátásokról és szolgáltatásokról szóló 12/2021. (V.14.) önkormányzati rendelet módosításáról a következőket rendeli el:</w:t>
      </w:r>
    </w:p>
    <w:p w:rsidR="001F1C94" w:rsidRDefault="005E2CD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1F1C94" w:rsidRDefault="005E2CD2">
      <w:pPr>
        <w:pStyle w:val="Szvegtrzs"/>
        <w:spacing w:after="0" w:line="240" w:lineRule="auto"/>
        <w:jc w:val="both"/>
      </w:pPr>
      <w:r>
        <w:t>Az egyes szociális ellátásokról és szolgáltatásokról szóló 12/2021. (V. 14.) önkormányzati rendelet 8. § (1) bekezdése helyébe a következő rendelkezés lép:</w:t>
      </w:r>
    </w:p>
    <w:p w:rsidR="001F1C94" w:rsidRDefault="005E2CD2">
      <w:pPr>
        <w:pStyle w:val="Szvegtrzs"/>
        <w:spacing w:before="240" w:after="240" w:line="240" w:lineRule="auto"/>
        <w:jc w:val="both"/>
      </w:pPr>
      <w:r>
        <w:t>„(1) Az Szt. 17. § (5) bekezdése szerinti méltányossági eljárás során a kötelezett megélhetését súlyosan veszélyeztető helyzet fennállásának tekintendő különösen, ha az ellátott családjában az egy főre jutó havi nettó jövedelem nem haladja meg szociális vetítési alap hatszorosát.”</w:t>
      </w:r>
    </w:p>
    <w:p w:rsidR="001F1C94" w:rsidRDefault="005E2CD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1F1C94" w:rsidRDefault="005E2CD2">
      <w:pPr>
        <w:pStyle w:val="Szvegtrzs"/>
        <w:spacing w:after="0" w:line="240" w:lineRule="auto"/>
        <w:jc w:val="both"/>
      </w:pPr>
      <w:r>
        <w:t>(1) Az egyes szociális ellátásokról és szolgáltatásokról szóló 12/2021. (V. 14.) önkormányzati rendelet 12. § (1) bekezdése helyébe a következő rendelkezés lép:</w:t>
      </w:r>
    </w:p>
    <w:p w:rsidR="001F1C94" w:rsidRDefault="005E2CD2">
      <w:pPr>
        <w:pStyle w:val="Szvegtrzs"/>
        <w:spacing w:before="240" w:after="240" w:line="240" w:lineRule="auto"/>
        <w:jc w:val="both"/>
      </w:pPr>
      <w:r>
        <w:t>„(1) Eseti segélyezési célú rendkívüli települési támogatásban csak azt a személyt lehet részesíteni, akinek családjában az egy főre jutó havi nettó jövedelem nem haladja meg szociális vetítési alap háromszorosát.”</w:t>
      </w:r>
    </w:p>
    <w:p w:rsidR="001F1C94" w:rsidRDefault="005E2CD2">
      <w:pPr>
        <w:pStyle w:val="Szvegtrzs"/>
        <w:spacing w:before="240" w:after="0" w:line="240" w:lineRule="auto"/>
        <w:jc w:val="both"/>
      </w:pPr>
      <w:r>
        <w:t>(2) Az egyes szociális ellátásokról és szolgáltatásokról szóló 12/2021. (V. 14.) önkormányzati rendelet 12. § (5) bekezdése helyébe a következő rendelkezés lép:</w:t>
      </w:r>
    </w:p>
    <w:p w:rsidR="001F1C94" w:rsidRDefault="005E2CD2">
      <w:pPr>
        <w:pStyle w:val="Szvegtrzs"/>
        <w:spacing w:before="240" w:after="240" w:line="240" w:lineRule="auto"/>
        <w:jc w:val="both"/>
      </w:pPr>
      <w:r>
        <w:t>„(5) Különös méltánylást érdemlő esetben megállapítható eseti segélyezési célú rendkívüli települési támogatás, ha a kérelmező családjában az egy főre jutó havi nettó jövedelem a szociális vetítési alap hatszorosát nem haladja meg.”</w:t>
      </w:r>
    </w:p>
    <w:p w:rsidR="001F1C94" w:rsidRDefault="005E2CD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1F1C94" w:rsidRDefault="005E2CD2">
      <w:pPr>
        <w:pStyle w:val="Szvegtrzs"/>
        <w:spacing w:after="0" w:line="240" w:lineRule="auto"/>
        <w:jc w:val="both"/>
      </w:pPr>
      <w:r>
        <w:t>Az egyes szociális ellátásokról és szolgáltatásokról szóló 12/2021. (V. 14.) önkormányzati rendelet 13. § (2) bekezdése helyébe a következő rendelkezés lép:</w:t>
      </w:r>
    </w:p>
    <w:p w:rsidR="001F1C94" w:rsidRDefault="005E2CD2">
      <w:pPr>
        <w:pStyle w:val="Szvegtrzs"/>
        <w:spacing w:before="240" w:after="240" w:line="240" w:lineRule="auto"/>
        <w:jc w:val="both"/>
      </w:pPr>
      <w:r>
        <w:lastRenderedPageBreak/>
        <w:t xml:space="preserve">„(2) Halálesethez kapcsolódó rendkívüli települési támogatásban csak azt a személyt lehet részesíteni, akinek a családjában az egy főre jutó havi nettó jövedelem a szociális vetítési alap négyszeresét, egyedülálló esetében </w:t>
      </w:r>
      <w:proofErr w:type="gramStart"/>
      <w:r>
        <w:t>a</w:t>
      </w:r>
      <w:proofErr w:type="gramEnd"/>
      <w:r>
        <w:t xml:space="preserve"> ötszörösét nem haladja meg. Nem állapítható meg ezen települési támogatás, ha a kérelmező és az elhunyt személy között tartási, életjáradéki vagy öröklési szerződés állt fenn.”</w:t>
      </w:r>
    </w:p>
    <w:p w:rsidR="001F1C94" w:rsidRDefault="005E2CD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1F1C94" w:rsidRDefault="005E2CD2">
      <w:pPr>
        <w:pStyle w:val="Szvegtrzs"/>
        <w:spacing w:after="0" w:line="240" w:lineRule="auto"/>
        <w:jc w:val="both"/>
      </w:pPr>
      <w:r>
        <w:t>Az egyes szociális ellátásokról és szolgáltatásokról szóló 12/2021. (V. 14.) önkormányzati rendelet 15. § (1) bekezdés b) pontja helyébe a következő rendelkezés lép:</w:t>
      </w:r>
    </w:p>
    <w:p w:rsidR="001F1C94" w:rsidRDefault="005E2CD2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(Születési támogatás biztosítható a gyermek születését megelőzően megszakítás nélkül legalább egy éve zalaszentgróti lakó-, illetve tartózkodási hellyel rendelkező, életvitelszerűen a településen tartózkodó szülők és törvényes képviselők részére az alábbi feltételek együttes fennállása esetén:)</w:t>
      </w:r>
    </w:p>
    <w:p w:rsidR="001F1C94" w:rsidRDefault="005E2CD2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b)</w:t>
      </w:r>
      <w:r>
        <w:tab/>
        <w:t>a kérelmező családjában az egy főre jutó havi nettó jövedelem nem haladja meg a szociális vetítési alap kilencszeresét.”</w:t>
      </w:r>
    </w:p>
    <w:p w:rsidR="001F1C94" w:rsidRDefault="005E2CD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1F1C94" w:rsidRDefault="005E2CD2">
      <w:pPr>
        <w:pStyle w:val="Szvegtrzs"/>
        <w:spacing w:after="0" w:line="240" w:lineRule="auto"/>
        <w:jc w:val="both"/>
      </w:pPr>
      <w:r>
        <w:t>Az egyes szociális ellátásokról és szolgáltatásokról szóló 12/2021. (V. 14.) önkormányzati rendelet 16. § (3) bekezdése helyébe a következő rendelkezés lép:</w:t>
      </w:r>
    </w:p>
    <w:p w:rsidR="001F1C94" w:rsidRDefault="005E2CD2">
      <w:pPr>
        <w:pStyle w:val="Szvegtrzs"/>
        <w:spacing w:before="240" w:after="240" w:line="240" w:lineRule="auto"/>
        <w:jc w:val="both"/>
      </w:pPr>
      <w:r>
        <w:t xml:space="preserve">„(3) A támogatási kérelmet </w:t>
      </w:r>
      <w:proofErr w:type="spellStart"/>
      <w:r>
        <w:t>gyermekenként</w:t>
      </w:r>
      <w:proofErr w:type="spellEnd"/>
      <w:r>
        <w:t xml:space="preserve"> csak az egyik szülő, illetve törvényes képviselő terjesztheti elő minden év június 30. napjáig, az e rendelet 2. melléklete szerinti formanyomtatványon. A benyújtás feltétele, hogy a kérelmező családjában az egy főre jutó havi nettó jövedelem nem haladja meg a szociális vetítési alap kilencszeresét. A támogatási összeg megállapítása érdekében a kérelemhez csatolni kell a bölcsődei, illetve óvodai jogviszony fennállásának intézményi igazolását. A kérelem benyújtására meghatározott határidő elmulasztása jogvesztéssel jár.”</w:t>
      </w:r>
    </w:p>
    <w:p w:rsidR="001F1C94" w:rsidRDefault="005E2CD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1F1C94" w:rsidRDefault="005E2CD2">
      <w:pPr>
        <w:pStyle w:val="Szvegtrzs"/>
        <w:spacing w:after="0" w:line="240" w:lineRule="auto"/>
        <w:jc w:val="both"/>
      </w:pPr>
      <w:r>
        <w:t>Az egyes szociális ellátásokról és szolgáltatásokról szóló 12/2021. (V. 14.) önkormányzati rendelet 17. § (3) bekezdése helyébe a következő rendelkezés lép:</w:t>
      </w:r>
    </w:p>
    <w:p w:rsidR="001F1C94" w:rsidRDefault="005E2CD2">
      <w:pPr>
        <w:pStyle w:val="Szvegtrzs"/>
        <w:spacing w:before="240" w:after="240" w:line="240" w:lineRule="auto"/>
        <w:jc w:val="both"/>
      </w:pPr>
      <w:r>
        <w:t>„(3) A támogatási kérelem az adott tanév összes hónapjára előre, illetve a havonta megvásárolt tanulói bérletek vonatkozásában a következő tanév szeptember 15. napjáig terjeszthető elő az e rendelet 2. melléklete szerinti formanyomtatványon. A benyújtás feltétele, hogy a kérelmező családjában az egy főre jutó havi nettó jövedelem nem haladja meg a szociális vetítési alap kilencszeresét. A támogatási összeg megállapítása érdekében a kérelemhez csatolni kell a tanuló nevével ellátott tanulói bérletek eredeti példányát, valamint az intézményi tanulói jogviszony fennállásának igazolását. A kérelem benyújtására meghatározott határidő elmulasztása jogvesztéssel jár.”</w:t>
      </w:r>
    </w:p>
    <w:p w:rsidR="001F1C94" w:rsidRDefault="005E2CD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1F1C94" w:rsidRDefault="005E2CD2">
      <w:pPr>
        <w:pStyle w:val="Szvegtrzs"/>
        <w:spacing w:after="0" w:line="240" w:lineRule="auto"/>
        <w:jc w:val="both"/>
      </w:pPr>
      <w:r>
        <w:t>Az egyes szociális ellátásokról és szolgáltatásokról szóló 12/2021. (V. 14.) önkormányzati rendelet 18. § (3) bekezdése helyébe a következő rendelkezés lép:</w:t>
      </w:r>
    </w:p>
    <w:p w:rsidR="001F1C94" w:rsidRDefault="005E2CD2">
      <w:pPr>
        <w:pStyle w:val="Szvegtrzs"/>
        <w:spacing w:before="240" w:after="240" w:line="240" w:lineRule="auto"/>
        <w:jc w:val="both"/>
      </w:pPr>
      <w:r>
        <w:t xml:space="preserve">„(3) A támogatási kérelmet </w:t>
      </w:r>
      <w:proofErr w:type="spellStart"/>
      <w:r>
        <w:t>tanulónként</w:t>
      </w:r>
      <w:proofErr w:type="spellEnd"/>
      <w:r>
        <w:t xml:space="preserve"> csak az egyik szülő, illetve törvényes képviselő terjesztheti elő minden év június 30. napjáig, az e rendelet 2. melléklete szerinti formanyomtatványon. A benyújtás feltétele, hogy a kérelmező családjában az egy főre jutó havi nettó jövedelem nem haladja meg a szociális vetítési alap kilencszeresét. A támogatási összeg megállapítása érdekében a kérelemhez csatolni kell az intézményi tanulói jogviszony fennállásának igazolását. A kérelem benyújtására meghatározott határidő elmulasztása jogvesztéssel jár.”</w:t>
      </w:r>
    </w:p>
    <w:p w:rsidR="001F1C94" w:rsidRDefault="005E2CD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8. §</w:t>
      </w:r>
    </w:p>
    <w:p w:rsidR="001F1C94" w:rsidRDefault="005E2CD2">
      <w:pPr>
        <w:pStyle w:val="Szvegtrzs"/>
        <w:spacing w:after="0" w:line="240" w:lineRule="auto"/>
        <w:jc w:val="both"/>
      </w:pPr>
      <w:r>
        <w:t>Az egyes szociális ellátásokról és szolgáltatásokról szóló 12/2021. (V. 14.) önkormányzati rendelet 20. § (1) bekezdése helyébe a következő rendelkezés lép:</w:t>
      </w:r>
    </w:p>
    <w:p w:rsidR="001F1C94" w:rsidRDefault="005E2CD2">
      <w:pPr>
        <w:pStyle w:val="Szvegtrzs"/>
        <w:spacing w:before="240" w:after="240" w:line="240" w:lineRule="auto"/>
        <w:jc w:val="both"/>
      </w:pPr>
      <w:r>
        <w:t>„(1) A Képviselő-testület által átruházott hatáskörben a polgármester hozzátartozó ápolásához kapcsolódó rendszeres települési támogatást állapíthat meg azon személy részére, aki a 18. életévét betöltött tartósan beteg hozzátartozójának ápolását, gondozását végzi, ápolási díjban nem részesül és háztartásában az egy főre jutó havi nettó jövedelem nem haladja meg a szociális vetítési alap háromszorosát, egyedül álló esetében annak négyszeresét.”</w:t>
      </w:r>
    </w:p>
    <w:p w:rsidR="001F1C94" w:rsidRDefault="005E2CD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1F1C94" w:rsidRDefault="005E2CD2">
      <w:pPr>
        <w:pStyle w:val="Szvegtrzs"/>
        <w:spacing w:after="0" w:line="240" w:lineRule="auto"/>
        <w:jc w:val="both"/>
      </w:pPr>
      <w:r>
        <w:t>Az egyes szociális ellátásokról és szolgáltatásokról szóló 12/2021. (V. 14.) önkormányzati rendelet 14. alcím címe helyébe a következő rendelkezés lép:</w:t>
      </w:r>
    </w:p>
    <w:p w:rsidR="001F1C94" w:rsidRDefault="005E2CD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„14. Személyes gondoskodást nyújtó alapszolgáltatás személyi térítési díjához kapcsolódó települési támogatás”</w:t>
      </w:r>
    </w:p>
    <w:p w:rsidR="001F1C94" w:rsidRDefault="005E2CD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1F1C94" w:rsidRDefault="005E2CD2">
      <w:pPr>
        <w:pStyle w:val="Szvegtrzs"/>
        <w:spacing w:after="0" w:line="240" w:lineRule="auto"/>
        <w:jc w:val="both"/>
      </w:pPr>
      <w:r>
        <w:t>(1) Az egyes szociális ellátásokról és szolgáltatásokról szóló 12/2021. (V. 14.) önkormányzati rendelet 22. § (1) és (2) bekezdése helyébe a következő rendelkezések lépnek:</w:t>
      </w:r>
    </w:p>
    <w:p w:rsidR="001F1C94" w:rsidRDefault="005E2CD2">
      <w:pPr>
        <w:pStyle w:val="Szvegtrzs"/>
        <w:spacing w:before="240" w:after="0" w:line="240" w:lineRule="auto"/>
        <w:jc w:val="both"/>
      </w:pPr>
      <w:r>
        <w:t>„(1) A Képviselő-testület által átruházott hatáskörben a polgármester személyes gondoskodást nyújtó alapszolgáltatás személyi térítési díjához kapcsolódó települési támogatást állapíthat meg azon szociálisan rászoruló személy részére, akinek a háztartásában az egy főre jutó havi nettó jövedelem nem haladja meg a szociális vetítési alap 300%-át. A támogatás összege a térítési díj 50%-a, de legfeljebb havi 5.000,- Ft.</w:t>
      </w:r>
    </w:p>
    <w:p w:rsidR="001F1C94" w:rsidRDefault="005E2CD2">
      <w:pPr>
        <w:pStyle w:val="Szvegtrzs"/>
        <w:spacing w:before="240" w:after="240" w:line="240" w:lineRule="auto"/>
        <w:jc w:val="both"/>
      </w:pPr>
      <w:r>
        <w:t>(2) A személyes gondoskodást nyújtó alapszolgáltatás személyi térítési díjához kapcsolódó települési támogatásra jogosult az a kérelmező, aki a házi segítségnyújtás ellátást igénybe kívánja venni, vagy már igénybe vette, de rászorult szociális helyzete nem teszi lehetővé vagy aránytalanul megnehezíti a képviselő-testület által rendeletben megállapított teljes vagy csökkentett összegű térítési díj fizetését.”</w:t>
      </w:r>
    </w:p>
    <w:p w:rsidR="001F1C94" w:rsidRDefault="005E2CD2">
      <w:pPr>
        <w:pStyle w:val="Szvegtrzs"/>
        <w:spacing w:before="240" w:after="0" w:line="240" w:lineRule="auto"/>
        <w:jc w:val="both"/>
      </w:pPr>
      <w:r>
        <w:t>(2) Az egyes szociális ellátásokról és szolgáltatásokról szóló 12/2021. (V. 14.) önkormányzati rendelet 22. § (4) bekezdése helyébe a következő rendelkezés lép:</w:t>
      </w:r>
    </w:p>
    <w:p w:rsidR="001F1C94" w:rsidRDefault="005E2CD2">
      <w:pPr>
        <w:pStyle w:val="Szvegtrzs"/>
        <w:spacing w:before="240" w:after="240" w:line="240" w:lineRule="auto"/>
        <w:jc w:val="both"/>
      </w:pPr>
      <w:r>
        <w:t>„(4) A támogatás határozott időre, legfeljebb hat hónap időtartamra állapítható meg, melynek a Központ által leigazolt térítési díjak alapján meghatározott összege havonta a térítési díj megfizetésének igazolását követően utólag kerül kifizetésre a kérelmező részére.</w:t>
      </w:r>
      <w:bookmarkStart w:id="0" w:name="_GoBack"/>
      <w:bookmarkEnd w:id="0"/>
      <w:r>
        <w:t>”</w:t>
      </w:r>
    </w:p>
    <w:p w:rsidR="001F1C94" w:rsidRDefault="005E2CD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:rsidR="001F1C94" w:rsidRDefault="005E2CD2">
      <w:pPr>
        <w:pStyle w:val="Szvegtrzs"/>
        <w:spacing w:after="0" w:line="240" w:lineRule="auto"/>
        <w:jc w:val="both"/>
      </w:pPr>
      <w:r>
        <w:t>A rendelet rendelkezéseit a folyamatban lévő eljárásokban is alkalmazni kell.</w:t>
      </w:r>
    </w:p>
    <w:p w:rsidR="001F1C94" w:rsidRDefault="005E2CD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:rsidR="001F1C94" w:rsidRDefault="005E2CD2">
      <w:pPr>
        <w:pStyle w:val="Szvegtrzs"/>
        <w:spacing w:after="0" w:line="240" w:lineRule="auto"/>
        <w:jc w:val="both"/>
      </w:pPr>
      <w:r>
        <w:t>Ez a rendelet a kihirdetését követő napon lép hatályba, és a kihirdetését követő második napon hatályát veszti.</w:t>
      </w: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1F1C94">
        <w:tc>
          <w:tcPr>
            <w:tcW w:w="4818" w:type="dxa"/>
          </w:tcPr>
          <w:p w:rsidR="001F1C94" w:rsidRDefault="005E2CD2">
            <w:pPr>
              <w:pStyle w:val="Szvegtrzs"/>
              <w:spacing w:after="0" w:line="240" w:lineRule="auto"/>
              <w:jc w:val="center"/>
            </w:pPr>
            <w:r>
              <w:rPr>
                <w:b/>
                <w:bCs/>
              </w:rPr>
              <w:lastRenderedPageBreak/>
              <w:t>Baracskai József</w:t>
            </w:r>
            <w:r>
              <w:br/>
              <w:t>polgármester</w:t>
            </w:r>
          </w:p>
        </w:tc>
        <w:tc>
          <w:tcPr>
            <w:tcW w:w="4820" w:type="dxa"/>
          </w:tcPr>
          <w:p w:rsidR="001F1C94" w:rsidRDefault="005E2CD2">
            <w:pPr>
              <w:pStyle w:val="Szvegtrzs"/>
              <w:spacing w:after="0" w:line="240" w:lineRule="auto"/>
              <w:jc w:val="center"/>
            </w:pPr>
            <w:r>
              <w:rPr>
                <w:b/>
                <w:bCs/>
              </w:rPr>
              <w:t>Dr. Simon Beáta</w:t>
            </w:r>
            <w:r>
              <w:br/>
              <w:t>jegyző</w:t>
            </w:r>
          </w:p>
        </w:tc>
      </w:tr>
    </w:tbl>
    <w:p w:rsidR="005E2CD2" w:rsidRDefault="005E2CD2"/>
    <w:p w:rsidR="005E2CD2" w:rsidRPr="005E2CD2" w:rsidRDefault="005E2CD2" w:rsidP="005E2CD2"/>
    <w:p w:rsidR="005E2CD2" w:rsidRPr="005E2CD2" w:rsidRDefault="005E2CD2" w:rsidP="005E2CD2"/>
    <w:p w:rsidR="005E2CD2" w:rsidRDefault="005E2CD2" w:rsidP="005E2CD2"/>
    <w:p w:rsidR="005E2CD2" w:rsidRDefault="005E2CD2" w:rsidP="005E2CD2">
      <w:pPr>
        <w:pStyle w:val="Szvegtrzs"/>
        <w:spacing w:after="0" w:line="240" w:lineRule="auto"/>
        <w:jc w:val="both"/>
      </w:pPr>
      <w:r>
        <w:t xml:space="preserve">A rendelet 2025. április 24-én kihirdetésre került. </w:t>
      </w:r>
    </w:p>
    <w:p w:rsidR="005E2CD2" w:rsidRDefault="005E2CD2" w:rsidP="005E2CD2">
      <w:pPr>
        <w:pStyle w:val="Szvegtrzs"/>
        <w:spacing w:after="0" w:line="240" w:lineRule="auto"/>
      </w:pPr>
    </w:p>
    <w:p w:rsidR="005E2CD2" w:rsidRDefault="005E2CD2" w:rsidP="005E2CD2">
      <w:pPr>
        <w:pStyle w:val="Szvegtrzs"/>
        <w:spacing w:line="240" w:lineRule="auto"/>
      </w:pPr>
    </w:p>
    <w:tbl>
      <w:tblPr>
        <w:tblW w:w="964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1"/>
        <w:gridCol w:w="4824"/>
      </w:tblGrid>
      <w:tr w:rsidR="005E2CD2" w:rsidTr="00CA5CFB">
        <w:tc>
          <w:tcPr>
            <w:tcW w:w="4818" w:type="dxa"/>
          </w:tcPr>
          <w:p w:rsidR="005E2CD2" w:rsidRDefault="005E2CD2" w:rsidP="00CA5CFB">
            <w:pPr>
              <w:pStyle w:val="Szvegtrzs"/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4820" w:type="dxa"/>
            <w:hideMark/>
          </w:tcPr>
          <w:p w:rsidR="005E2CD2" w:rsidRDefault="005E2CD2" w:rsidP="00CA5CFB">
            <w:pPr>
              <w:pStyle w:val="Szvegtrzs"/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Dr. Simon </w:t>
            </w:r>
            <w:proofErr w:type="spellStart"/>
            <w:r>
              <w:rPr>
                <w:lang w:val="en-US"/>
              </w:rPr>
              <w:t>Beáta</w:t>
            </w:r>
            <w:proofErr w:type="spellEnd"/>
          </w:p>
          <w:p w:rsidR="005E2CD2" w:rsidRDefault="005E2CD2" w:rsidP="00CA5CFB">
            <w:pPr>
              <w:pStyle w:val="Szvegtrzs"/>
              <w:spacing w:after="0" w:line="240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jegyző</w:t>
            </w:r>
            <w:proofErr w:type="spellEnd"/>
          </w:p>
        </w:tc>
      </w:tr>
    </w:tbl>
    <w:p w:rsidR="005E2CD2" w:rsidRDefault="005E2CD2" w:rsidP="005E2CD2">
      <w:pPr>
        <w:tabs>
          <w:tab w:val="left" w:pos="1320"/>
        </w:tabs>
      </w:pPr>
    </w:p>
    <w:p w:rsidR="001F1C94" w:rsidRPr="005E2CD2" w:rsidRDefault="005E2CD2" w:rsidP="005E2CD2">
      <w:pPr>
        <w:tabs>
          <w:tab w:val="left" w:pos="1320"/>
        </w:tabs>
        <w:sectPr w:rsidR="001F1C94" w:rsidRPr="005E2CD2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ab/>
      </w:r>
    </w:p>
    <w:p w:rsidR="001F1C94" w:rsidRDefault="001F1C94">
      <w:pPr>
        <w:pStyle w:val="Szvegtrzs"/>
        <w:spacing w:after="0"/>
        <w:jc w:val="center"/>
      </w:pPr>
    </w:p>
    <w:p w:rsidR="001F1C94" w:rsidRDefault="005E2CD2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:rsidR="001F1C94" w:rsidRDefault="005E2CD2">
      <w:pPr>
        <w:pStyle w:val="Szvegtrzs"/>
        <w:spacing w:after="160" w:line="240" w:lineRule="auto"/>
        <w:jc w:val="both"/>
      </w:pPr>
      <w:r>
        <w:t>Zalaszentgrót Város Önkormányzata Képviselő-testülete a 12/2021. (V.14.) számú rendeletében határozta meg az</w:t>
      </w:r>
      <w:r>
        <w:rPr>
          <w:b/>
          <w:bCs/>
        </w:rPr>
        <w:t xml:space="preserve"> </w:t>
      </w:r>
      <w:r>
        <w:t>egyes szociális ellátásokról és szolgáltatásokról</w:t>
      </w:r>
      <w:r>
        <w:rPr>
          <w:b/>
          <w:bCs/>
        </w:rPr>
        <w:t xml:space="preserve"> </w:t>
      </w:r>
      <w:r>
        <w:t>szóló szabályokat. A rendelet felülvizsgálatát többek között az infláció emelkedése, a minimálbérek, valamint a garantált bérminimum emelkedése indokolja.  A tervezett módosítás a települési támogatások jogosultsági jövedelemhatár összegének módosítását, emelését irányozza elő, amely időszerűvé és indokolttá vált az utóbbi években tapasztalt áremelkedések és magas infláció következtében kialakult kedvezőtlen gazdasági környezet miatt.</w:t>
      </w:r>
    </w:p>
    <w:p w:rsidR="001F1C94" w:rsidRDefault="005E2CD2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1F1C94" w:rsidRDefault="005E2CD2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:rsidR="001F1C94" w:rsidRDefault="005E2CD2">
      <w:pPr>
        <w:pStyle w:val="Szvegtrzs"/>
        <w:spacing w:before="159" w:after="159" w:line="240" w:lineRule="auto"/>
        <w:ind w:left="159" w:right="159"/>
        <w:jc w:val="both"/>
      </w:pPr>
      <w:r>
        <w:t>A méltányossági eljárás során a kötelezett megélhetését súlyosan veszélyeztető helyzet fennállásának esetén meghatározott jogosultsági jövedelemhatár megemelt összegét határozza meg.</w:t>
      </w:r>
    </w:p>
    <w:p w:rsidR="001F1C94" w:rsidRDefault="005E2CD2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:rsidR="001F1C94" w:rsidRDefault="005E2CD2">
      <w:pPr>
        <w:pStyle w:val="Szvegtrzs"/>
        <w:spacing w:after="160" w:line="240" w:lineRule="auto"/>
        <w:jc w:val="both"/>
      </w:pPr>
      <w:r>
        <w:t>Az eseti segélyezési célú rendkívüli települési támogatás, valamint a különös méltánylást érdemlő esetben megállapítható eseti segélyezési célú rendkívüli települési támogatás jogosultsági jövedelemhatár megemelt összegét határozza meg.</w:t>
      </w:r>
    </w:p>
    <w:p w:rsidR="001F1C94" w:rsidRDefault="005E2CD2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:rsidR="001F1C94" w:rsidRDefault="005E2CD2">
      <w:pPr>
        <w:pStyle w:val="Szvegtrzs"/>
        <w:spacing w:after="160" w:line="240" w:lineRule="auto"/>
        <w:jc w:val="both"/>
      </w:pPr>
      <w:r>
        <w:t>A halálesethez kapcsolódó rendkívüli települési támogatás jogosultsági jövedelemhatár megemelt összegét határozza meg.</w:t>
      </w:r>
    </w:p>
    <w:p w:rsidR="001F1C94" w:rsidRDefault="005E2CD2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:rsidR="001F1C94" w:rsidRDefault="005E2CD2">
      <w:pPr>
        <w:pStyle w:val="Szvegtrzs"/>
        <w:spacing w:after="160" w:line="240" w:lineRule="auto"/>
        <w:jc w:val="both"/>
      </w:pPr>
      <w:r>
        <w:t>A születési támogatás jogosultsági jövedelemhatár megemelt összegét határozza meg.</w:t>
      </w:r>
    </w:p>
    <w:p w:rsidR="001F1C94" w:rsidRDefault="005E2CD2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5. §-hoz </w:t>
      </w:r>
    </w:p>
    <w:p w:rsidR="001F1C94" w:rsidRDefault="005E2CD2">
      <w:pPr>
        <w:pStyle w:val="Szvegtrzs"/>
        <w:spacing w:after="160" w:line="240" w:lineRule="auto"/>
        <w:jc w:val="both"/>
      </w:pPr>
      <w:r>
        <w:t>A bölcsőde-, illetve óvodakezdési támogatás jogosultsági jövedelemhatár megemelt összegét határozza meg.</w:t>
      </w:r>
    </w:p>
    <w:p w:rsidR="001F1C94" w:rsidRDefault="005E2CD2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6. §-hoz </w:t>
      </w:r>
    </w:p>
    <w:p w:rsidR="001F1C94" w:rsidRDefault="005E2CD2">
      <w:pPr>
        <w:pStyle w:val="Szvegtrzs"/>
        <w:spacing w:after="160" w:line="240" w:lineRule="auto"/>
        <w:jc w:val="both"/>
      </w:pPr>
      <w:r>
        <w:t>A tanulói utazási bérlettámogatás jogosultsági jövedelemhatár megemelt összegét határozza meg.</w:t>
      </w:r>
    </w:p>
    <w:p w:rsidR="001F1C94" w:rsidRDefault="005E2CD2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7. §-hoz </w:t>
      </w:r>
    </w:p>
    <w:p w:rsidR="001F1C94" w:rsidRDefault="005E2CD2">
      <w:pPr>
        <w:pStyle w:val="Szvegtrzs"/>
        <w:spacing w:after="160" w:line="240" w:lineRule="auto"/>
        <w:jc w:val="both"/>
      </w:pPr>
      <w:r>
        <w:t>Az iskolakezdési támogatás jogosultsági jövedelemhatár megemelt összegét határozza meg.</w:t>
      </w:r>
    </w:p>
    <w:p w:rsidR="001F1C94" w:rsidRDefault="005E2CD2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8. §-hoz </w:t>
      </w:r>
    </w:p>
    <w:p w:rsidR="001F1C94" w:rsidRDefault="005E2CD2">
      <w:pPr>
        <w:pStyle w:val="Szvegtrzs"/>
        <w:spacing w:after="160" w:line="240" w:lineRule="auto"/>
        <w:jc w:val="both"/>
      </w:pPr>
      <w:r>
        <w:t>Az ápoláshoz kapcsolódó rendszeres települési támogatás jogosultsági jövedelemhatár megemelt összegét határozza meg.</w:t>
      </w:r>
    </w:p>
    <w:p w:rsidR="001F1C94" w:rsidRDefault="005E2CD2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9. §-hoz </w:t>
      </w:r>
    </w:p>
    <w:p w:rsidR="001F1C94" w:rsidRDefault="005E2CD2">
      <w:pPr>
        <w:pStyle w:val="Szvegtrzs"/>
        <w:spacing w:before="159" w:after="159" w:line="240" w:lineRule="auto"/>
        <w:ind w:left="159" w:right="159"/>
        <w:jc w:val="both"/>
      </w:pPr>
      <w:r>
        <w:t xml:space="preserve">A személyes gondoskodást nyújtó alapszolgáltatás személyi térítési díjához kapcsolódó települési </w:t>
      </w:r>
      <w:proofErr w:type="gramStart"/>
      <w:r>
        <w:t>támogatás  elnevezésének</w:t>
      </w:r>
      <w:proofErr w:type="gramEnd"/>
      <w:r>
        <w:t xml:space="preserve"> pontosítását tartalmazza.</w:t>
      </w:r>
    </w:p>
    <w:p w:rsidR="001F1C94" w:rsidRDefault="005E2CD2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10. §-hoz </w:t>
      </w:r>
    </w:p>
    <w:p w:rsidR="001F1C94" w:rsidRDefault="005E2CD2">
      <w:pPr>
        <w:pStyle w:val="Szvegtrzs"/>
        <w:spacing w:before="159" w:after="159" w:line="240" w:lineRule="auto"/>
        <w:ind w:left="159" w:right="159"/>
        <w:jc w:val="both"/>
      </w:pPr>
      <w:r>
        <w:lastRenderedPageBreak/>
        <w:t>A személyes gondoskodást nyújtó alapszolgáltatás személyi térítési díjához kapcsolódó települési támogatás részletszabályait pontosító rendelkezéseket határoz meg.</w:t>
      </w:r>
    </w:p>
    <w:p w:rsidR="001F1C94" w:rsidRDefault="005E2CD2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11. §-hoz </w:t>
      </w:r>
    </w:p>
    <w:p w:rsidR="001F1C94" w:rsidRDefault="005E2CD2">
      <w:pPr>
        <w:pStyle w:val="Szvegtrzs"/>
        <w:spacing w:line="240" w:lineRule="auto"/>
        <w:jc w:val="both"/>
      </w:pPr>
      <w:r>
        <w:t>A rendelet szabályainak a folyamatban lévő eljárásokban való alkalmazhatóságáról rendelkezik.</w:t>
      </w:r>
    </w:p>
    <w:p w:rsidR="001F1C94" w:rsidRDefault="005E2CD2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12. §-hoz </w:t>
      </w:r>
    </w:p>
    <w:p w:rsidR="001F1C94" w:rsidRDefault="005E2CD2">
      <w:pPr>
        <w:pStyle w:val="Szvegtrzs"/>
        <w:spacing w:line="240" w:lineRule="auto"/>
        <w:jc w:val="both"/>
      </w:pPr>
      <w:r>
        <w:t>A rendelet hatályba lépéséről, illetve hatályon kívül helyezéséről rendelkezik.</w:t>
      </w:r>
    </w:p>
    <w:sectPr w:rsidR="001F1C94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5DCA" w:rsidRDefault="005E2CD2">
      <w:r>
        <w:separator/>
      </w:r>
    </w:p>
  </w:endnote>
  <w:endnote w:type="continuationSeparator" w:id="0">
    <w:p w:rsidR="00AA5DCA" w:rsidRDefault="005E2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  <w:sig w:usb0="00000007" w:usb1="00000000" w:usb2="00000000" w:usb3="00000000" w:csb0="00000003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  <w:sig w:usb0="00000007" w:usb1="00000000" w:usb2="00000000" w:usb3="00000000" w:csb0="00000003" w:csb1="00000000"/>
  </w:font>
  <w:font w:name="OpenSymbol">
    <w:altName w:val="Segoe UI Symbol"/>
    <w:charset w:val="02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1C94" w:rsidRDefault="005E2CD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1C94" w:rsidRDefault="005E2CD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5DCA" w:rsidRDefault="005E2CD2">
      <w:r>
        <w:separator/>
      </w:r>
    </w:p>
  </w:footnote>
  <w:footnote w:type="continuationSeparator" w:id="0">
    <w:p w:rsidR="00AA5DCA" w:rsidRDefault="005E2C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970474"/>
    <w:multiLevelType w:val="multilevel"/>
    <w:tmpl w:val="122C85F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 w:grammar="clean"/>
  <w:revisionView w:inkAnnotations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C94"/>
    <w:rsid w:val="001F1C94"/>
    <w:rsid w:val="003824C8"/>
    <w:rsid w:val="005E2CD2"/>
    <w:rsid w:val="00AA5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B5C5CE-311E-4CBE-AC0A-90F6FA41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5E2CD2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1370</Words>
  <Characters>9454</Characters>
  <Application>Microsoft Office Word</Application>
  <DocSecurity>0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Gondos István</dc:creator>
  <dc:description/>
  <cp:lastModifiedBy>Jegyző</cp:lastModifiedBy>
  <cp:revision>3</cp:revision>
  <dcterms:created xsi:type="dcterms:W3CDTF">2025-04-17T07:53:00Z</dcterms:created>
  <dcterms:modified xsi:type="dcterms:W3CDTF">2025-04-17T08:39:00Z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