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75A" w:rsidRDefault="00F83B6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7/2025. (V. 30.) önkormányzati rendelete</w:t>
      </w:r>
    </w:p>
    <w:p w:rsidR="0024775A" w:rsidRDefault="00F83B67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2024. évi költségvetés végrehajtásáról és a 2024. évi költségvetési maradvány jóváhagyásáról</w:t>
      </w:r>
    </w:p>
    <w:p w:rsidR="0024775A" w:rsidRDefault="00F83B67">
      <w:pPr>
        <w:pStyle w:val="Szvegtrzs"/>
        <w:spacing w:after="0" w:line="240" w:lineRule="auto"/>
        <w:jc w:val="both"/>
      </w:pPr>
      <w:r>
        <w:t>[1] A települési önkormányzatoknak törvényi kötelezettségük a költségvetés végrehajtásáról szóló zárszámadási rendelet megalkotása, melyet a jegyző készít elő és a polgármester terjeszti a képviselő-testület elé. A zárszámadás tartalmazza a költségvetés végrehajtását, összeveti a költségvetési rendeletben tervezett és a ténylegesen megvalósult bevételeket és kiadásokat. A zárszámadás elfogadása mindig a költségvetési év lezárása után történik, és legkésőbb a költségvetési évet követő ötödik hónap utolsó napjáig hatályba kell, hogy lépjen.</w:t>
      </w:r>
    </w:p>
    <w:p w:rsidR="0024775A" w:rsidRDefault="00F83B67">
      <w:pPr>
        <w:pStyle w:val="Szvegtrzs"/>
        <w:spacing w:before="120" w:after="0" w:line="240" w:lineRule="auto"/>
        <w:jc w:val="both"/>
      </w:pPr>
      <w:r>
        <w:t>[2] Zalaszentgrót Város Önkormányzata Képviselő-testülete az Alaptörvény 32. cikk (2) bekezdésében meghatározott eredeti jogalkotói hatáskörében, az Alaptörvény 32. cikk (1) bekezdés f) pontjában, valamint az államháztartásról szóló 2011. évi CXCV. törvény 91. §-ában meghatározott feladatkörében eljárva a 2024. évi költségvetés végrehajtásáról és a 2024. évi költségvetési maradvány jóváhagyásáról a következőket rendeli el:</w:t>
      </w:r>
    </w:p>
    <w:p w:rsidR="0024775A" w:rsidRDefault="00F83B67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:rsidR="0024775A" w:rsidRDefault="00F83B67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2024. évi kiemelt előirányzatok teljesítésének jóváhagyása 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4775A" w:rsidRDefault="00F83B67">
      <w:pPr>
        <w:pStyle w:val="Szvegtrzs"/>
        <w:spacing w:after="0" w:line="240" w:lineRule="auto"/>
        <w:jc w:val="both"/>
      </w:pPr>
      <w:r>
        <w:t>(1) Zalaszentgrót Város Önkormányzatának Képviselő-testülete (a továbbiakban: képviselő-testület) a 2024. évi költségvetés végrehajtásáról szóló beszámolót az 1. mellékletnek megfelelően</w:t>
      </w:r>
    </w:p>
    <w:p w:rsidR="0024775A" w:rsidRDefault="00F83B67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1.828.745 e Ft költségvetési működési bevétellel</w:t>
      </w:r>
    </w:p>
    <w:p w:rsidR="0024775A" w:rsidRDefault="00F83B6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61.532 e Ft költségvetési felhalmozási bevétellel</w:t>
      </w:r>
    </w:p>
    <w:p w:rsidR="0024775A" w:rsidRDefault="00F83B6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555.732 e Ft finanszírozási bevétellel</w:t>
      </w:r>
    </w:p>
    <w:p w:rsidR="0024775A" w:rsidRDefault="00F83B6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b/>
          <w:bCs/>
        </w:rPr>
        <w:t>2.446.009 e Ft összes bevétellel</w:t>
      </w:r>
    </w:p>
    <w:p w:rsidR="0024775A" w:rsidRDefault="00F83B67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1.879.255 e Ft eFt költségvetési működési kiadással</w:t>
      </w:r>
    </w:p>
    <w:p w:rsidR="0024775A" w:rsidRDefault="00F83B67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203.263 e Ft költségvetési felhalmozási kiadással</w:t>
      </w:r>
    </w:p>
    <w:p w:rsidR="0024775A" w:rsidRDefault="00F83B67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26.598 e Ft finanszírozási kiadással</w:t>
      </w:r>
    </w:p>
    <w:p w:rsidR="0024775A" w:rsidRDefault="00F83B67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</w:r>
      <w:r>
        <w:rPr>
          <w:b/>
          <w:bCs/>
        </w:rPr>
        <w:t>2.109.116 e Ft összes kiadással</w:t>
      </w:r>
    </w:p>
    <w:p w:rsidR="0024775A" w:rsidRDefault="00F83B6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b/>
          <w:bCs/>
        </w:rPr>
        <w:t>336.893 e Ft költségvetési maradvánnyal, amelyből felhalmozási: 61.513 e Ft, működési: 275.380 e Ft</w:t>
      </w:r>
    </w:p>
    <w:p w:rsidR="0024775A" w:rsidRDefault="00F83B67">
      <w:pPr>
        <w:pStyle w:val="Szvegtrzs"/>
        <w:spacing w:after="0" w:line="240" w:lineRule="auto"/>
        <w:jc w:val="both"/>
      </w:pPr>
      <w:proofErr w:type="gramStart"/>
      <w:r>
        <w:t>jóváhagyja</w:t>
      </w:r>
      <w:proofErr w:type="gramEnd"/>
      <w:r>
        <w:t>.</w:t>
      </w:r>
    </w:p>
    <w:p w:rsidR="0024775A" w:rsidRDefault="00F83B67">
      <w:pPr>
        <w:pStyle w:val="Szvegtrzs"/>
        <w:spacing w:before="240" w:after="0" w:line="240" w:lineRule="auto"/>
        <w:jc w:val="both"/>
      </w:pPr>
      <w:r>
        <w:t>(2) A képviselő-testület az önkormányzat működést-felhalmozást bemutató mérlegét az 2. mellékletben foglaltaknak megfelelően fogadja el.</w:t>
      </w:r>
    </w:p>
    <w:p w:rsidR="0024775A" w:rsidRDefault="00F83B67">
      <w:pPr>
        <w:pStyle w:val="Szvegtrzs"/>
        <w:spacing w:before="240" w:after="0" w:line="240" w:lineRule="auto"/>
        <w:jc w:val="both"/>
      </w:pPr>
      <w:r>
        <w:t>(3) A képviselő-testület az önkormányzat és az általa fenntartott intézmények költségvetési és finanszírozási bevételi és kiadási előirányzatának teljesítését a 3. mellékletben és a 4. mellékletben foglaltaknak megfelelően jóváhagyja.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4775A" w:rsidRDefault="00F83B67">
      <w:pPr>
        <w:pStyle w:val="Szvegtrzs"/>
        <w:spacing w:after="0" w:line="240" w:lineRule="auto"/>
        <w:jc w:val="both"/>
      </w:pPr>
      <w:r>
        <w:t>A képviselő-testület a beruházási kiadások teljesítését 85.575 e Ft főösszegben, valamint annak célonkénti részletezését az 5. mellékletben foglaltak szerint elfogadja.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24775A" w:rsidRDefault="00F83B67">
      <w:pPr>
        <w:pStyle w:val="Szvegtrzs"/>
        <w:spacing w:after="0" w:line="240" w:lineRule="auto"/>
        <w:jc w:val="both"/>
      </w:pPr>
      <w:r>
        <w:t>A képviselő-testület a felújítási kiadások teljesítését 67.362 e Ft főösszegben, valamint annak célonkénti részletezését a 6. mellékletben foglaltak szerint elfogadja.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24775A" w:rsidRDefault="00F83B67">
      <w:pPr>
        <w:pStyle w:val="Szvegtrzs"/>
        <w:spacing w:after="0" w:line="240" w:lineRule="auto"/>
        <w:jc w:val="both"/>
      </w:pPr>
      <w:r>
        <w:t>Az önkormányzat és az intézmények foglalkoztatottainak létszámát a 7. melléklet tartalmazza.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24775A" w:rsidRDefault="00F83B67">
      <w:pPr>
        <w:pStyle w:val="Szvegtrzs"/>
        <w:spacing w:after="0" w:line="240" w:lineRule="auto"/>
      </w:pPr>
      <w:r>
        <w:t>Az önkormányzat által 2024.évben nyújtott közvetett támogatásokat a 8. melléklet tartalmazza.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24775A" w:rsidRDefault="00F83B67">
      <w:pPr>
        <w:pStyle w:val="Szvegtrzs"/>
        <w:spacing w:after="0" w:line="240" w:lineRule="auto"/>
        <w:jc w:val="both"/>
      </w:pPr>
      <w:r>
        <w:t>A képviselő-testület a működési célú támogatások államháztartáson kívülre nyújtott összegét 156.245 e Ft-ban, a működési célú támogatások államháztartáson belülre nyújtott összegét 184.012 e Ft-ban, a felhalmozási célú támogatások államháztartáson belülre adott összegét 47.860 e Ft-ban, a felhalmozási célú pénzeszköz átadások összegét államháztartáson kívülre 2.466 e Ft-ban állapítja meg és a 9. melléklet szerint fogadja el.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24775A" w:rsidRDefault="00F83B67">
      <w:pPr>
        <w:pStyle w:val="Szvegtrzs"/>
        <w:spacing w:after="0" w:line="240" w:lineRule="auto"/>
        <w:jc w:val="both"/>
      </w:pPr>
      <w:r>
        <w:t>Az Európai uniós támogatással megvalósuló projektek 2024. évi tervezett és teljesített költségeit, valamint finanszírozási forrásait a 10. melléklet tartalmazza.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24775A" w:rsidRDefault="00F83B67">
      <w:pPr>
        <w:pStyle w:val="Szvegtrzs"/>
        <w:spacing w:after="0" w:line="240" w:lineRule="auto"/>
        <w:jc w:val="both"/>
      </w:pPr>
      <w:r>
        <w:t>(1) Az önkormányzat 2024. évi mérlegfőösszege 9.666.960 e Ft, amelynek részletezését – a 4/2013.(I.11.) Korm. rendelet előírásai szerint - a 11. melléklet mutatja be.</w:t>
      </w:r>
    </w:p>
    <w:p w:rsidR="0024775A" w:rsidRDefault="00F83B67">
      <w:pPr>
        <w:pStyle w:val="Szvegtrzs"/>
        <w:spacing w:before="240" w:after="0" w:line="240" w:lineRule="auto"/>
        <w:jc w:val="both"/>
      </w:pPr>
      <w:r>
        <w:t>(2) Az önkormányzat 2024. december 31-i állapot szerinti vagyonát a – a 2011. évi CXCVI. tv előírásai szerinti csoportosításban - a 12. melléklet tartalmazza.</w:t>
      </w:r>
    </w:p>
    <w:p w:rsidR="0024775A" w:rsidRDefault="00F83B67">
      <w:pPr>
        <w:pStyle w:val="Szvegtrzs"/>
        <w:spacing w:before="240" w:after="0" w:line="240" w:lineRule="auto"/>
        <w:jc w:val="both"/>
      </w:pPr>
      <w:r>
        <w:t>(3) Az önkormányzat 2024. évre vonatkozó eredmény kimutatását a 13. melléklet tartalmazza.</w:t>
      </w:r>
    </w:p>
    <w:p w:rsidR="0024775A" w:rsidRDefault="00F83B67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II. Fejezet</w:t>
      </w:r>
    </w:p>
    <w:p w:rsidR="0024775A" w:rsidRDefault="00F83B67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Adósságszolgálat, több évre szóló kötelezettségvállalás 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24775A" w:rsidRDefault="00F83B67">
      <w:pPr>
        <w:pStyle w:val="Szvegtrzs"/>
        <w:spacing w:after="0" w:line="240" w:lineRule="auto"/>
        <w:jc w:val="both"/>
      </w:pPr>
      <w:r>
        <w:t>Az adósságot keletkeztető ügyletekhez történő hozzájárulás részletes szabályairól szóló 353/2011. (XII. 30.) Korm. rendelet előírásai alapján Zalaszentgrót Város Önkormányzata a 7/2024. (II. 14.) határozatában a következő évekre vonatkozóan több évre szóló kötelezettségvállalásról nem döntött.</w:t>
      </w:r>
    </w:p>
    <w:p w:rsidR="0024775A" w:rsidRDefault="00F83B67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III. Fejezet</w:t>
      </w:r>
    </w:p>
    <w:p w:rsidR="0024775A" w:rsidRDefault="00F83B67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A 2024. évi költségvetési maradvány jóváhagyása 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24775A" w:rsidRDefault="00F83B67">
      <w:pPr>
        <w:pStyle w:val="Szvegtrzs"/>
        <w:spacing w:after="0" w:line="240" w:lineRule="auto"/>
        <w:jc w:val="both"/>
      </w:pPr>
      <w:r>
        <w:t>A képviselő-testület az önkormányzat és az általa fenntartott intézmények költségvetési maradványát 336.893 e Ft összegben, a 14. mellékletben foglalt részletezésnek megfelelően elfogadja.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11. §</w:t>
      </w:r>
    </w:p>
    <w:p w:rsidR="0024775A" w:rsidRDefault="00F83B67">
      <w:pPr>
        <w:pStyle w:val="Szvegtrzs"/>
        <w:spacing w:after="0" w:line="240" w:lineRule="auto"/>
        <w:jc w:val="both"/>
      </w:pPr>
      <w:r>
        <w:t>A költségvetési maradvány 2025. évi előirányzatokon történő átvezetéséről az önkormányzat jegyzője és az intézményvezetők gondoskodnak.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24775A" w:rsidRDefault="00F83B67">
      <w:pPr>
        <w:pStyle w:val="Szvegtrzs"/>
        <w:spacing w:after="0" w:line="240" w:lineRule="auto"/>
        <w:jc w:val="both"/>
      </w:pPr>
      <w:r>
        <w:t>Az önkormányzat 2024. évi nyitó és záró pénzkészletének változását a 15. melléklet tartalmazza.</w:t>
      </w:r>
    </w:p>
    <w:p w:rsidR="0024775A" w:rsidRDefault="00F83B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24775A" w:rsidRDefault="00F83B67">
      <w:pPr>
        <w:pStyle w:val="Szvegtrzs"/>
        <w:spacing w:after="0" w:line="240" w:lineRule="auto"/>
        <w:jc w:val="both"/>
      </w:pPr>
      <w:bookmarkStart w:id="0" w:name="_GoBack"/>
      <w:r>
        <w:t xml:space="preserve">Ez a rendelet </w:t>
      </w:r>
      <w:r w:rsidR="00733FB6">
        <w:t>a kihirdetést követő napon</w:t>
      </w:r>
      <w:r>
        <w:t xml:space="preserve"> lép hatályba.</w:t>
      </w:r>
    </w:p>
    <w:bookmarkEnd w:id="0"/>
    <w:p w:rsidR="00D73743" w:rsidRDefault="00D73743">
      <w:pPr>
        <w:pStyle w:val="Szvegtrzs"/>
        <w:spacing w:after="0" w:line="240" w:lineRule="auto"/>
        <w:jc w:val="both"/>
      </w:pPr>
    </w:p>
    <w:p w:rsidR="00D73743" w:rsidRDefault="00D73743">
      <w:pPr>
        <w:pStyle w:val="Szvegtrzs"/>
        <w:spacing w:after="0" w:line="240" w:lineRule="auto"/>
        <w:jc w:val="both"/>
      </w:pPr>
    </w:p>
    <w:p w:rsidR="00D73743" w:rsidRDefault="00D73743">
      <w:pPr>
        <w:pStyle w:val="Szvegtrzs"/>
        <w:spacing w:after="0" w:line="240" w:lineRule="auto"/>
        <w:jc w:val="both"/>
      </w:pPr>
    </w:p>
    <w:p w:rsidR="00D73743" w:rsidRDefault="00D73743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24775A">
        <w:tc>
          <w:tcPr>
            <w:tcW w:w="4818" w:type="dxa"/>
          </w:tcPr>
          <w:p w:rsidR="0024775A" w:rsidRDefault="00F83B6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24775A" w:rsidRDefault="00F83B67">
            <w:pPr>
              <w:pStyle w:val="Szvegtrzs"/>
              <w:spacing w:after="0" w:line="240" w:lineRule="auto"/>
              <w:jc w:val="center"/>
            </w:pPr>
            <w:r>
              <w:rPr>
                <w:b/>
                <w:bCs/>
              </w:rPr>
              <w:t>Dr. Simon Beáta</w:t>
            </w:r>
            <w:r>
              <w:br/>
              <w:t>jegyző</w:t>
            </w:r>
          </w:p>
        </w:tc>
      </w:tr>
    </w:tbl>
    <w:p w:rsidR="00D73743" w:rsidRDefault="00D73743">
      <w:pPr>
        <w:pStyle w:val="Szvegtrzs"/>
        <w:spacing w:line="240" w:lineRule="auto"/>
        <w:jc w:val="right"/>
      </w:pPr>
    </w:p>
    <w:p w:rsidR="00D73743" w:rsidRPr="00D73743" w:rsidRDefault="00D73743" w:rsidP="00D73743"/>
    <w:p w:rsidR="00D73743" w:rsidRDefault="00D73743">
      <w:pPr>
        <w:pStyle w:val="Szvegtrzs"/>
        <w:spacing w:line="240" w:lineRule="auto"/>
        <w:jc w:val="right"/>
      </w:pPr>
    </w:p>
    <w:p w:rsidR="00D73743" w:rsidRPr="006A5C16" w:rsidRDefault="00D73743" w:rsidP="00D73743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</w:p>
    <w:p w:rsidR="00D73743" w:rsidRPr="00D73743" w:rsidRDefault="00D73743" w:rsidP="00D73743">
      <w:pPr>
        <w:suppressAutoHyphens w:val="0"/>
        <w:jc w:val="both"/>
        <w:rPr>
          <w:rFonts w:eastAsia="Times New Roman" w:cs="Calibri"/>
          <w:kern w:val="0"/>
          <w:lang w:eastAsia="hu-HU" w:bidi="ar-SA"/>
        </w:rPr>
      </w:pPr>
      <w:r w:rsidRPr="00D73743">
        <w:rPr>
          <w:rFonts w:eastAsia="Times New Roman" w:cs="Calibri"/>
          <w:kern w:val="0"/>
          <w:lang w:eastAsia="hu-HU" w:bidi="ar-SA"/>
        </w:rPr>
        <w:t xml:space="preserve">A rendelet 2025. május 30. napján kihirdetésre került. </w:t>
      </w:r>
    </w:p>
    <w:p w:rsidR="00D73743" w:rsidRPr="00D73743" w:rsidRDefault="00D73743" w:rsidP="00D73743">
      <w:pPr>
        <w:suppressAutoHyphens w:val="0"/>
        <w:jc w:val="both"/>
        <w:rPr>
          <w:rFonts w:eastAsia="Times New Roman" w:cs="Calibri"/>
          <w:b/>
          <w:kern w:val="0"/>
          <w:lang w:eastAsia="hu-HU" w:bidi="ar-SA"/>
        </w:rPr>
      </w:pPr>
      <w:r w:rsidRPr="00D73743">
        <w:rPr>
          <w:rFonts w:eastAsia="Times New Roman" w:cs="Calibri"/>
          <w:b/>
          <w:kern w:val="0"/>
          <w:lang w:eastAsia="hu-HU" w:bidi="ar-SA"/>
        </w:rPr>
        <w:t xml:space="preserve">                    </w:t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  <w:t xml:space="preserve">     </w:t>
      </w:r>
    </w:p>
    <w:p w:rsidR="00D73743" w:rsidRPr="00D73743" w:rsidRDefault="00D73743" w:rsidP="00D73743">
      <w:pPr>
        <w:suppressAutoHyphens w:val="0"/>
        <w:jc w:val="both"/>
        <w:rPr>
          <w:rFonts w:eastAsia="Times New Roman" w:cs="Calibri"/>
          <w:b/>
          <w:kern w:val="0"/>
          <w:lang w:eastAsia="hu-HU" w:bidi="ar-SA"/>
        </w:rPr>
      </w:pPr>
    </w:p>
    <w:p w:rsidR="00D73743" w:rsidRPr="00D73743" w:rsidRDefault="00D73743" w:rsidP="00D73743">
      <w:pPr>
        <w:suppressAutoHyphens w:val="0"/>
        <w:jc w:val="both"/>
        <w:rPr>
          <w:rFonts w:eastAsia="Times New Roman" w:cs="Calibri"/>
          <w:b/>
          <w:kern w:val="0"/>
          <w:lang w:eastAsia="hu-HU" w:bidi="ar-SA"/>
        </w:rPr>
      </w:pPr>
    </w:p>
    <w:p w:rsidR="00D73743" w:rsidRPr="00D73743" w:rsidRDefault="00D73743" w:rsidP="00D73743">
      <w:pPr>
        <w:suppressAutoHyphens w:val="0"/>
        <w:jc w:val="both"/>
        <w:rPr>
          <w:rFonts w:eastAsia="Times New Roman" w:cs="Calibri"/>
          <w:b/>
          <w:kern w:val="0"/>
          <w:lang w:eastAsia="hu-HU" w:bidi="ar-SA"/>
        </w:rPr>
      </w:pPr>
    </w:p>
    <w:p w:rsidR="00D73743" w:rsidRPr="00D73743" w:rsidRDefault="00D73743" w:rsidP="00D73743">
      <w:pPr>
        <w:suppressAutoHyphens w:val="0"/>
        <w:jc w:val="both"/>
        <w:rPr>
          <w:rFonts w:eastAsia="Times New Roman" w:cs="Calibri"/>
          <w:b/>
          <w:kern w:val="0"/>
          <w:lang w:eastAsia="hu-HU" w:bidi="ar-SA"/>
        </w:rPr>
      </w:pPr>
    </w:p>
    <w:p w:rsidR="00D73743" w:rsidRPr="00D73743" w:rsidRDefault="00D73743" w:rsidP="00D73743">
      <w:pPr>
        <w:suppressAutoHyphens w:val="0"/>
        <w:jc w:val="both"/>
        <w:rPr>
          <w:rFonts w:eastAsia="Times New Roman" w:cs="Calibri"/>
          <w:b/>
          <w:kern w:val="0"/>
          <w:lang w:eastAsia="hu-HU" w:bidi="ar-SA"/>
        </w:rPr>
      </w:pP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</w:r>
      <w:r w:rsidRPr="00D73743">
        <w:rPr>
          <w:rFonts w:eastAsia="Times New Roman" w:cs="Calibri"/>
          <w:b/>
          <w:kern w:val="0"/>
          <w:lang w:eastAsia="hu-HU" w:bidi="ar-SA"/>
        </w:rPr>
        <w:tab/>
        <w:t xml:space="preserve">    Dr. Simon Beáta</w:t>
      </w:r>
    </w:p>
    <w:p w:rsidR="00D73743" w:rsidRPr="00D73743" w:rsidRDefault="00D73743" w:rsidP="00D73743">
      <w:pPr>
        <w:tabs>
          <w:tab w:val="left" w:pos="6540"/>
        </w:tabs>
        <w:suppressAutoHyphens w:val="0"/>
        <w:jc w:val="both"/>
        <w:rPr>
          <w:rFonts w:eastAsia="Times New Roman" w:cs="Calibri"/>
          <w:kern w:val="0"/>
          <w:lang w:eastAsia="hu-HU" w:bidi="ar-SA"/>
        </w:rPr>
      </w:pPr>
      <w:r w:rsidRPr="00D73743">
        <w:rPr>
          <w:rFonts w:eastAsia="Times New Roman" w:cs="Calibri"/>
          <w:b/>
          <w:kern w:val="0"/>
          <w:lang w:eastAsia="hu-HU" w:bidi="ar-SA"/>
        </w:rPr>
        <w:t xml:space="preserve">                                                                                                           </w:t>
      </w:r>
      <w:proofErr w:type="gramStart"/>
      <w:r w:rsidRPr="00D73743">
        <w:rPr>
          <w:rFonts w:eastAsia="Times New Roman" w:cs="Calibri"/>
          <w:kern w:val="0"/>
          <w:lang w:eastAsia="hu-HU" w:bidi="ar-SA"/>
        </w:rPr>
        <w:t>jegyző</w:t>
      </w:r>
      <w:proofErr w:type="gramEnd"/>
      <w:r w:rsidRPr="00D73743">
        <w:rPr>
          <w:rFonts w:eastAsia="Times New Roman" w:cs="Calibri"/>
          <w:kern w:val="0"/>
          <w:lang w:eastAsia="hu-HU" w:bidi="ar-SA"/>
        </w:rPr>
        <w:t xml:space="preserve">    </w:t>
      </w:r>
    </w:p>
    <w:p w:rsidR="00D73743" w:rsidRDefault="00D73743" w:rsidP="00D73743">
      <w:pPr>
        <w:pStyle w:val="Szvegtrzs"/>
        <w:tabs>
          <w:tab w:val="left" w:pos="615"/>
        </w:tabs>
        <w:spacing w:line="240" w:lineRule="auto"/>
      </w:pPr>
    </w:p>
    <w:p w:rsidR="0024775A" w:rsidRDefault="00F83B67" w:rsidP="00F83B67">
      <w:pPr>
        <w:pStyle w:val="Szvegtrzs"/>
        <w:spacing w:line="240" w:lineRule="auto"/>
        <w:ind w:left="2836" w:firstLine="709"/>
        <w:rPr>
          <w:i/>
          <w:iCs/>
          <w:u w:val="single"/>
        </w:rPr>
      </w:pPr>
      <w:r w:rsidRPr="00D73743">
        <w:br w:type="page"/>
      </w:r>
      <w:r>
        <w:rPr>
          <w:i/>
          <w:iCs/>
          <w:u w:val="single"/>
        </w:rPr>
        <w:t>1. melléklet a 7/2025. (V. 30.) önkormányzati rendelethez</w:t>
      </w:r>
    </w:p>
    <w:p w:rsidR="00D73743" w:rsidRDefault="00F83B67" w:rsidP="00D73743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1.mell.mérleg.pdf elnevezésű fájl tartalmazza.)</w:t>
      </w:r>
    </w:p>
    <w:p w:rsidR="0024775A" w:rsidRPr="00D73743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2.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2.mell.műk.,</w:t>
      </w:r>
      <w:proofErr w:type="spellStart"/>
      <w:r>
        <w:t>fejl.c.bev.kiad..pdf</w:t>
      </w:r>
      <w:proofErr w:type="spellEnd"/>
      <w:r>
        <w:t xml:space="preserve">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3.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3.mell.bevételek.pdf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4.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4.mell.kiadások.pdf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5.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5.mell.beruházási </w:t>
      </w:r>
      <w:proofErr w:type="spellStart"/>
      <w:r>
        <w:t>kiadások.pdf</w:t>
      </w:r>
      <w:proofErr w:type="spellEnd"/>
      <w:r>
        <w:t xml:space="preserve">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6.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6.mell.felújítások.pdf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7.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7.mell. létszám int. és </w:t>
      </w:r>
      <w:proofErr w:type="spellStart"/>
      <w:r>
        <w:t>állománycsop..pdf</w:t>
      </w:r>
      <w:proofErr w:type="spellEnd"/>
      <w:r>
        <w:t xml:space="preserve">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8.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8.mell. </w:t>
      </w:r>
      <w:proofErr w:type="spellStart"/>
      <w:r>
        <w:t>közvezett</w:t>
      </w:r>
      <w:proofErr w:type="spellEnd"/>
      <w:r>
        <w:t xml:space="preserve"> </w:t>
      </w:r>
      <w:proofErr w:type="spellStart"/>
      <w:r>
        <w:t>tám.pdf</w:t>
      </w:r>
      <w:proofErr w:type="spellEnd"/>
      <w:r>
        <w:t xml:space="preserve">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9.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9. mell. átadott </w:t>
      </w:r>
      <w:proofErr w:type="spellStart"/>
      <w:r>
        <w:t>pénzeszk</w:t>
      </w:r>
      <w:proofErr w:type="spellEnd"/>
      <w:r>
        <w:t>.,</w:t>
      </w:r>
      <w:proofErr w:type="spellStart"/>
      <w:r>
        <w:t>támogatások.pdf</w:t>
      </w:r>
      <w:proofErr w:type="spellEnd"/>
      <w:r>
        <w:t xml:space="preserve">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3545"/>
        <w:jc w:val="both"/>
      </w:pPr>
      <w:r>
        <w:rPr>
          <w:i/>
          <w:iCs/>
          <w:u w:val="single"/>
        </w:rPr>
        <w:t>10.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10.mell. EU-s </w:t>
      </w:r>
      <w:proofErr w:type="spellStart"/>
      <w:r>
        <w:t>tám</w:t>
      </w:r>
      <w:proofErr w:type="gramStart"/>
      <w:r>
        <w:t>.fejl</w:t>
      </w:r>
      <w:proofErr w:type="gramEnd"/>
      <w:r>
        <w:t>..pdf</w:t>
      </w:r>
      <w:proofErr w:type="spellEnd"/>
      <w:r>
        <w:t xml:space="preserve">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11.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11.mell. </w:t>
      </w:r>
      <w:proofErr w:type="spellStart"/>
      <w:r>
        <w:t>vagyonkimutatás.pdf</w:t>
      </w:r>
      <w:proofErr w:type="spellEnd"/>
      <w:r>
        <w:t xml:space="preserve">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12.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12.mell. </w:t>
      </w:r>
      <w:proofErr w:type="spellStart"/>
      <w:r>
        <w:t>vagyonkimutatás.pdf</w:t>
      </w:r>
      <w:proofErr w:type="spellEnd"/>
      <w:r>
        <w:t xml:space="preserve">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13.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13.mell. konszolidált </w:t>
      </w:r>
      <w:proofErr w:type="spellStart"/>
      <w:r>
        <w:t>eredménykimutatás.pdf</w:t>
      </w:r>
      <w:proofErr w:type="spellEnd"/>
      <w:r>
        <w:t xml:space="preserve">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14. melléklet a 7/2025. (V. 30.) önkormányzati rendelethez</w:t>
      </w:r>
    </w:p>
    <w:p w:rsidR="00F83B67" w:rsidRDefault="00F83B67" w:rsidP="00F83B6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14.mell. költségvetési </w:t>
      </w:r>
      <w:proofErr w:type="spellStart"/>
      <w:r>
        <w:t>maradvány.pdf</w:t>
      </w:r>
      <w:proofErr w:type="spellEnd"/>
      <w:r>
        <w:t xml:space="preserve"> elnevezésű fájl tartalmazza.)</w:t>
      </w:r>
    </w:p>
    <w:p w:rsidR="0024775A" w:rsidRPr="00F83B67" w:rsidRDefault="00F83B67" w:rsidP="00F83B67">
      <w:pPr>
        <w:pStyle w:val="Szvegtrzs"/>
        <w:spacing w:line="240" w:lineRule="auto"/>
        <w:ind w:left="2836" w:firstLine="709"/>
        <w:jc w:val="both"/>
      </w:pPr>
      <w:r>
        <w:rPr>
          <w:i/>
          <w:iCs/>
          <w:u w:val="single"/>
        </w:rPr>
        <w:t>15. melléklet a 7/2025. (V. 30.) önkormányzati rendelethez</w:t>
      </w:r>
    </w:p>
    <w:p w:rsidR="0024775A" w:rsidRDefault="00F83B67">
      <w:pPr>
        <w:pStyle w:val="Szvegtrzs"/>
        <w:spacing w:line="240" w:lineRule="auto"/>
        <w:jc w:val="both"/>
        <w:sectPr w:rsidR="0024775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15.mell. </w:t>
      </w:r>
      <w:proofErr w:type="spellStart"/>
      <w:r>
        <w:t>pénzeszk.egyeztetés.pdf</w:t>
      </w:r>
      <w:proofErr w:type="spellEnd"/>
      <w:r>
        <w:t xml:space="preserve"> elnevezésű fájl tartalmazza.)</w:t>
      </w:r>
    </w:p>
    <w:p w:rsidR="0024775A" w:rsidRDefault="0024775A">
      <w:pPr>
        <w:pStyle w:val="Szvegtrzs"/>
        <w:spacing w:after="0"/>
        <w:jc w:val="center"/>
      </w:pPr>
    </w:p>
    <w:p w:rsidR="0024775A" w:rsidRDefault="00F83B67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24775A" w:rsidRDefault="00F83B67">
      <w:pPr>
        <w:pStyle w:val="Szvegtrzs"/>
        <w:spacing w:line="240" w:lineRule="auto"/>
        <w:jc w:val="both"/>
      </w:pPr>
      <w:r>
        <w:t>Az államháztartásról szóló 2011. évi CXCV. törvény 91. § (1) bekezdése alapján a jegyző által előkészített zárszámadási rendelettervezetet a polgármester terjeszti a képviselő-testület elé úgy, hogy az a képviselő-testület elé terjesztését követő harminc napon belül hatályba lépjen.</w:t>
      </w:r>
    </w:p>
    <w:p w:rsidR="0024775A" w:rsidRDefault="00F83B67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1.§-</w:t>
      </w:r>
      <w:proofErr w:type="gramStart"/>
      <w:r>
        <w:t>a</w:t>
      </w:r>
      <w:proofErr w:type="gramEnd"/>
      <w:r>
        <w:t xml:space="preserve"> a 2024. évi költségvetés végrehajtásáról szóló beszámolónak az 1. mellékletre, az önkormányzat működést-felhalmozást bemutató mérlegének a 2. mellékletre, az önkormányzat és az általa fenntartott intézmények költségvetési és finanszírozási bevételi, valamint kiadási előirányzatai teljesítésének a 3. és 4. mellékletekre utalással való elfogadását tartalmazza.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2.§-</w:t>
      </w:r>
      <w:proofErr w:type="gramStart"/>
      <w:r>
        <w:t>a</w:t>
      </w:r>
      <w:proofErr w:type="gramEnd"/>
      <w:r>
        <w:t xml:space="preserve"> a beruházási kiadások teljesítésének, valamint azok célonkénti részletezésének az 5. mellékletre utalással való elfogadását tartalmazza.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3.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3. §-</w:t>
      </w:r>
      <w:proofErr w:type="gramStart"/>
      <w:r>
        <w:t>a</w:t>
      </w:r>
      <w:proofErr w:type="gramEnd"/>
      <w:r>
        <w:t xml:space="preserve"> a felújítási kiadások teljesítésének, valamint azok célonkénti részletezésének az 6. mellékletre utalással való elfogadását tartalmazza.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4.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4. §-</w:t>
      </w:r>
      <w:proofErr w:type="gramStart"/>
      <w:r>
        <w:t>a</w:t>
      </w:r>
      <w:proofErr w:type="gramEnd"/>
      <w:r>
        <w:t xml:space="preserve"> az önkormányzat és az intézmények foglalkoztatottjainak létszámát a 7. mellékletre utalással tartalmazza.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5.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5.§-</w:t>
      </w:r>
      <w:proofErr w:type="gramStart"/>
      <w:r>
        <w:t>a</w:t>
      </w:r>
      <w:proofErr w:type="gramEnd"/>
      <w:r>
        <w:t xml:space="preserve"> az önkormányzat által 2024. évben nyújtott közvetett támogatásokat a 8. mellékletre utalással tartalmazza.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6.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6.§-</w:t>
      </w:r>
      <w:proofErr w:type="gramStart"/>
      <w:r>
        <w:t>a</w:t>
      </w:r>
      <w:proofErr w:type="gramEnd"/>
      <w:r>
        <w:t xml:space="preserve"> a működési célú támogatások államháztartáson kívülre nyújtott összegének, a működési célú támogatások államháztartáson belülre nyújtott összegének, a felhalmozási célú pénzeszköz átadások összegének államháztartáson kívülre, valamint a felhalmozási célú támogatás államháztartáson belülre átadott összegének megállapítását, és a 9. mellékletre utalással való elfogadását tartalmazza.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7.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7.§-</w:t>
      </w:r>
      <w:proofErr w:type="gramStart"/>
      <w:r>
        <w:t>a</w:t>
      </w:r>
      <w:proofErr w:type="gramEnd"/>
      <w:r>
        <w:t xml:space="preserve"> az Európai uniós támogatással megvalósuló projektek 2024. évi tervezett és teljesített költségeit, valamint finanszírozási forrásait a 10. mellékletre utalással tartalmazza.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8.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8.§-</w:t>
      </w:r>
      <w:proofErr w:type="gramStart"/>
      <w:r>
        <w:t>a</w:t>
      </w:r>
      <w:proofErr w:type="gramEnd"/>
      <w:r>
        <w:t xml:space="preserve"> az önkormányzat 2024. évi mérlegfőösszegét, annak részletezését, az önkormányzat 2024. december 31-i állapot szerinti vagyonát, valamint az önkormányzat 2024. évre vonatkozó eredmény-kimutatását a 11., 12. és a 13. mellékletekre utalással tartalmazza.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9.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9.§-</w:t>
      </w:r>
      <w:proofErr w:type="gramStart"/>
      <w:r>
        <w:t>a</w:t>
      </w:r>
      <w:proofErr w:type="gramEnd"/>
      <w:r>
        <w:t xml:space="preserve"> annak részletezését tartalmazza, hogy az Önkormányzat a következő évekre vonatkozóan több évre szóló kötelezettségvállalásról nem döntött.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10.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10. §-</w:t>
      </w:r>
      <w:proofErr w:type="gramStart"/>
      <w:r>
        <w:t>a</w:t>
      </w:r>
      <w:proofErr w:type="gramEnd"/>
      <w:r>
        <w:t xml:space="preserve"> az önkormányzat és az általa fenntartott intézmények költségvetési maradványának a 14. mellékletre utalással való elfogadását tartalmazza.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11.§-</w:t>
      </w:r>
      <w:proofErr w:type="gramStart"/>
      <w:r>
        <w:t>a</w:t>
      </w:r>
      <w:proofErr w:type="gramEnd"/>
      <w:r>
        <w:t xml:space="preserve"> a költségvetési maradvány 2025. évi előirányzatokon történő átvezetéséről rendelkezik.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>A rendelet 12.§-</w:t>
      </w:r>
      <w:proofErr w:type="gramStart"/>
      <w:r>
        <w:t>a</w:t>
      </w:r>
      <w:proofErr w:type="gramEnd"/>
      <w:r>
        <w:t xml:space="preserve"> az önkormányzat 2024. évi nyitó és záró pénzkészletének változását a 15. mellékletre utalással tartalmazza.</w:t>
      </w:r>
    </w:p>
    <w:p w:rsidR="0024775A" w:rsidRDefault="00F83B67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13.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24775A" w:rsidRDefault="00F83B67">
      <w:pPr>
        <w:pStyle w:val="Szvegtrzs"/>
        <w:spacing w:line="240" w:lineRule="auto"/>
        <w:jc w:val="both"/>
      </w:pPr>
      <w:r>
        <w:t xml:space="preserve">A rendelet 13.§- 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rendelet hatályba lépéséről rendelkezik.</w:t>
      </w:r>
    </w:p>
    <w:sectPr w:rsidR="0024775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D46" w:rsidRDefault="00F83B67">
      <w:r>
        <w:separator/>
      </w:r>
    </w:p>
  </w:endnote>
  <w:endnote w:type="continuationSeparator" w:id="0">
    <w:p w:rsidR="008F5D46" w:rsidRDefault="00F83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75A" w:rsidRDefault="00F83B6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33FB6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75A" w:rsidRDefault="00F83B6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33FB6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D46" w:rsidRDefault="00F83B67">
      <w:r>
        <w:separator/>
      </w:r>
    </w:p>
  </w:footnote>
  <w:footnote w:type="continuationSeparator" w:id="0">
    <w:p w:rsidR="008F5D46" w:rsidRDefault="00F83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7400F"/>
    <w:multiLevelType w:val="multilevel"/>
    <w:tmpl w:val="8D6874A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75A"/>
    <w:rsid w:val="0024775A"/>
    <w:rsid w:val="00733FB6"/>
    <w:rsid w:val="008F5D46"/>
    <w:rsid w:val="00D73743"/>
    <w:rsid w:val="00F8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23D48-F428-4DDB-AD93-6BF02D07C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1286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dc:description/>
  <cp:lastModifiedBy>Gondos István</cp:lastModifiedBy>
  <cp:revision>4</cp:revision>
  <dcterms:created xsi:type="dcterms:W3CDTF">2025-05-14T08:03:00Z</dcterms:created>
  <dcterms:modified xsi:type="dcterms:W3CDTF">2025-05-14T08:33:00Z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