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ED8" w:rsidRDefault="006E67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10/2025. (VI. 27.) önkormányzati rendelete</w:t>
      </w:r>
    </w:p>
    <w:p w:rsidR="00F57ED8" w:rsidRDefault="006E67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kitüntetésekről és az adományozásuk rendjéről szóló 20/2016. (XI. 25.) önkormányzati rendelet módosításáról</w:t>
      </w:r>
    </w:p>
    <w:p w:rsidR="00F57ED8" w:rsidRDefault="006E67CD">
      <w:pPr>
        <w:pStyle w:val="Szvegtrzs"/>
        <w:spacing w:after="0" w:line="240" w:lineRule="auto"/>
        <w:jc w:val="both"/>
      </w:pPr>
      <w:r>
        <w:t xml:space="preserve">[1] Zalaszentgrót Város Önkormányzata </w:t>
      </w:r>
      <w:r>
        <w:t xml:space="preserve">méltó módon kívánja elismerni azon személyeket, szervezeteket és más közösségeket, aki, illetve amelyek tevékenységükkel hozzájárultak Zalaszentgrót város fejlődéséhez, értékeinek megőrzéséhez és </w:t>
      </w:r>
      <w:proofErr w:type="spellStart"/>
      <w:r>
        <w:t>továbbörökítéséhez</w:t>
      </w:r>
      <w:proofErr w:type="spellEnd"/>
      <w:r>
        <w:t>, jó hírnevének növeléséhez, valamint kiem</w:t>
      </w:r>
      <w:r>
        <w:t>elkedő és maradandó módon gazdagították a város társadalmi, gazdasági, tudományos, művészeti és egyéb értékeit.</w:t>
      </w:r>
    </w:p>
    <w:p w:rsidR="00F57ED8" w:rsidRDefault="006E67CD">
      <w:pPr>
        <w:pStyle w:val="Szvegtrzs"/>
        <w:spacing w:before="120" w:after="0" w:line="240" w:lineRule="auto"/>
        <w:jc w:val="both"/>
      </w:pPr>
      <w:r>
        <w:t>[2] Zalaszentgrót Város Önkormányzatának Képviselő-testülete az Alaptörvény 32. cikk (1) bekezdésének i) pontjában és a Magyarország címerének é</w:t>
      </w:r>
      <w:r>
        <w:t xml:space="preserve">s </w:t>
      </w:r>
      <w:proofErr w:type="spellStart"/>
      <w:r>
        <w:t>zászlajának</w:t>
      </w:r>
      <w:proofErr w:type="spellEnd"/>
      <w:r>
        <w:t xml:space="preserve"> használatáról, valamint állami kitüntetéseiről szóló 2011. évi CCII. törvény 24. § (9) bekezdésében kapott felhatalmazás alapján, az Alaptörvény 32. cikk (1) bekezdésének a) pontjában meghatározott feladatkörében eljárva a helyi kitüntetésekr</w:t>
      </w:r>
      <w:r>
        <w:t>ől és az adományozásuk rendjéről szóló 20/2016. (XI.25.) önkormányzati rendelet módosításról a következőket rendeli el:</w:t>
      </w:r>
    </w:p>
    <w:p w:rsidR="00F57ED8" w:rsidRDefault="006E67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57ED8" w:rsidRDefault="006E67CD">
      <w:pPr>
        <w:pStyle w:val="Szvegtrzs"/>
        <w:spacing w:after="0" w:line="240" w:lineRule="auto"/>
        <w:jc w:val="both"/>
      </w:pPr>
      <w:r>
        <w:t>A Zalaszentgrót Város Önkormányzata Képviselő-testületének a helyi kitüntetésekről és az adományozásuk rendjéről szóló 20/2016 (XI.</w:t>
      </w:r>
      <w:r>
        <w:t>25.) önkormányzati rendelet 6. § (2) bekezdése helyébe a következő rendelkezés lép:</w:t>
      </w:r>
    </w:p>
    <w:p w:rsidR="00F57ED8" w:rsidRDefault="006E67CD">
      <w:pPr>
        <w:pStyle w:val="Szvegtrzs"/>
        <w:spacing w:before="240" w:after="240" w:line="240" w:lineRule="auto"/>
        <w:jc w:val="both"/>
      </w:pPr>
      <w:r>
        <w:t xml:space="preserve">„(2) A „Zalaszentgrót Város </w:t>
      </w:r>
      <w:proofErr w:type="spellStart"/>
      <w:r>
        <w:t>Díszpolgára</w:t>
      </w:r>
      <w:proofErr w:type="spellEnd"/>
      <w:r>
        <w:t>” kitüntető címből évente legfeljebb egy darab adományozható. E szabálytól a Képviselő-testület rendkívül indokolt esetben mind a kit</w:t>
      </w:r>
      <w:r>
        <w:t>üntetés adományozási időpontját, mind pedig a kitüntetés számát tekintve eltérhet.”</w:t>
      </w:r>
    </w:p>
    <w:p w:rsidR="00F57ED8" w:rsidRDefault="006E67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57ED8" w:rsidRDefault="006E67CD">
      <w:pPr>
        <w:pStyle w:val="Szvegtrzs"/>
        <w:spacing w:after="0" w:line="240" w:lineRule="auto"/>
        <w:jc w:val="both"/>
      </w:pPr>
      <w:r>
        <w:t>A Zalaszentgrót Város Önkormányzata Képviselő-testületének a helyi kitüntetésekről és az adományozásuk rendjéről szóló 20/2016 (XI.25.) önkormányzati rendelet 7. § (2)</w:t>
      </w:r>
      <w:r>
        <w:t xml:space="preserve"> és (3) bekezdése helyébe a következő rendelkezések lépnek:</w:t>
      </w:r>
    </w:p>
    <w:p w:rsidR="00F57ED8" w:rsidRDefault="006E67CD">
      <w:pPr>
        <w:pStyle w:val="Szvegtrzs"/>
        <w:spacing w:before="240" w:after="0" w:line="240" w:lineRule="auto"/>
        <w:jc w:val="both"/>
      </w:pPr>
      <w:r>
        <w:t>„(2) A „Pro Urbe Zalaszentgrót” érdeméremből évente legfeljebb kettő darab adományozható. E szabálytól a Képviselő-testület rendkívül indokolt esetben mind a kitüntetés adományozási időpontját, mi</w:t>
      </w:r>
      <w:r>
        <w:t>nd pedig a kitüntetés számát tekintve eltérhet.</w:t>
      </w:r>
    </w:p>
    <w:p w:rsidR="00F57ED8" w:rsidRDefault="006E67CD">
      <w:pPr>
        <w:pStyle w:val="Szvegtrzs"/>
        <w:spacing w:before="240" w:after="240" w:line="240" w:lineRule="auto"/>
        <w:jc w:val="both"/>
      </w:pPr>
      <w:r>
        <w:t>(3) A Képviselő-testület a kitüntetetteknek a „Pro Urbe Zalaszentgrót” feliratot tartalmazó díszoklevelet, a város címerével és nevével ellátott, bronzból készült érdemérmet, valamint nettó 200.000,- Ft, azaz</w:t>
      </w:r>
      <w:r>
        <w:t xml:space="preserve"> nettó kettőszázezer forint összegű pénzjutalmat adományoz.”</w:t>
      </w:r>
    </w:p>
    <w:p w:rsidR="00F57ED8" w:rsidRDefault="006E67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57ED8" w:rsidRDefault="006E67CD">
      <w:pPr>
        <w:pStyle w:val="Szvegtrzs"/>
        <w:spacing w:after="0" w:line="240" w:lineRule="auto"/>
        <w:jc w:val="both"/>
      </w:pPr>
      <w:r>
        <w:t>A Zalaszentgrót Város Önkormányzata Képviselő-testületének a helyi kitüntetésekről és az adományozásuk rendjéről szóló 20/2016 (XI.25.) önkormányzati rendelet 8. § (3) bekezdése helyébe a kö</w:t>
      </w:r>
      <w:r>
        <w:t>vetkező rendelkezés lép:</w:t>
      </w:r>
    </w:p>
    <w:p w:rsidR="00F57ED8" w:rsidRDefault="006E67CD">
      <w:pPr>
        <w:pStyle w:val="Szvegtrzs"/>
        <w:spacing w:before="240" w:after="240" w:line="240" w:lineRule="auto"/>
        <w:jc w:val="both"/>
      </w:pPr>
      <w:r>
        <w:lastRenderedPageBreak/>
        <w:t>„(3) A Képviselő-testület a kitüntetetteknek a „Zalaszentgrót Város Szolgálatáért Díj” feliratot tartalmazó díszoklevelet, valamint nettó 100.000,- Ft, azaz nettó egyszázezer forint összegű pénzjutalmat adományoz.”</w:t>
      </w:r>
    </w:p>
    <w:p w:rsidR="00F57ED8" w:rsidRDefault="006E67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57ED8" w:rsidRDefault="006E67CD">
      <w:pPr>
        <w:pStyle w:val="Szvegtrzs"/>
        <w:spacing w:after="0" w:line="240" w:lineRule="auto"/>
        <w:jc w:val="both"/>
      </w:pPr>
      <w:r>
        <w:t>Ez a rendel</w:t>
      </w:r>
      <w:r>
        <w:t>et a kihirdetését követő napon lép hatályba, és a kihirdetését követő második napon hatályát veszti.</w:t>
      </w:r>
    </w:p>
    <w:p w:rsidR="006E67CD" w:rsidRDefault="006E67CD">
      <w:pPr>
        <w:pStyle w:val="Szvegtrzs"/>
        <w:spacing w:after="0" w:line="240" w:lineRule="auto"/>
        <w:jc w:val="both"/>
      </w:pPr>
    </w:p>
    <w:p w:rsidR="006E67CD" w:rsidRDefault="006E67CD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F57ED8">
        <w:tc>
          <w:tcPr>
            <w:tcW w:w="4818" w:type="dxa"/>
          </w:tcPr>
          <w:p w:rsidR="00F57ED8" w:rsidRDefault="006E67CD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F57ED8" w:rsidRDefault="006E67CD">
            <w:pPr>
              <w:pStyle w:val="Szvegtrzs"/>
              <w:spacing w:after="0" w:line="240" w:lineRule="auto"/>
              <w:jc w:val="center"/>
            </w:pPr>
            <w:r>
              <w:t xml:space="preserve">Dr. Simon Beáta </w:t>
            </w:r>
            <w:r>
              <w:br/>
              <w:t>jegyző</w:t>
            </w:r>
          </w:p>
        </w:tc>
      </w:tr>
    </w:tbl>
    <w:p w:rsidR="00F57ED8" w:rsidRDefault="00F57ED8"/>
    <w:p w:rsidR="006E67CD" w:rsidRDefault="006E67CD" w:rsidP="006E67CD">
      <w:pPr>
        <w:pStyle w:val="Szvegtrzs"/>
        <w:spacing w:after="0" w:line="240" w:lineRule="auto"/>
        <w:ind w:right="-1"/>
        <w:jc w:val="both"/>
      </w:pPr>
      <w:r>
        <w:t>A rendelet 2025. június 27-én kihirdetésre került.</w:t>
      </w:r>
    </w:p>
    <w:p w:rsidR="006E67CD" w:rsidRDefault="006E67CD" w:rsidP="006E67CD">
      <w:pPr>
        <w:pStyle w:val="Szvegtrzs"/>
        <w:spacing w:after="0" w:line="240" w:lineRule="auto"/>
        <w:ind w:right="-1"/>
        <w:jc w:val="both"/>
      </w:pPr>
    </w:p>
    <w:p w:rsidR="006E67CD" w:rsidRDefault="006E67CD" w:rsidP="006E67CD">
      <w:pPr>
        <w:pStyle w:val="Szvegtrzs"/>
        <w:spacing w:after="0" w:line="240" w:lineRule="auto"/>
        <w:ind w:right="-1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6E67CD" w:rsidTr="006E67CD">
        <w:tc>
          <w:tcPr>
            <w:tcW w:w="4818" w:type="dxa"/>
          </w:tcPr>
          <w:p w:rsidR="006E67CD" w:rsidRDefault="006E67CD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6E67CD" w:rsidRDefault="006E67CD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6E67CD" w:rsidRDefault="006E67CD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6E67CD" w:rsidRDefault="006E67CD"/>
    <w:p w:rsidR="006E67CD" w:rsidRDefault="006E67CD"/>
    <w:p w:rsidR="006E67CD" w:rsidRDefault="006E67CD"/>
    <w:p w:rsidR="006E67CD" w:rsidRDefault="006E67CD">
      <w:pPr>
        <w:sectPr w:rsidR="006E67C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F57ED8" w:rsidRDefault="006E67CD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F57ED8" w:rsidRDefault="006E67CD">
      <w:pPr>
        <w:pStyle w:val="Szvegtrzs"/>
        <w:spacing w:before="159" w:after="159" w:line="240" w:lineRule="auto"/>
        <w:jc w:val="both"/>
      </w:pPr>
      <w:r>
        <w:t>Magyarország Alaptörvénye 32. cikk (1) bekezdése i) pontja rögzíti, hogy a helyi önkormányzat a helyi közügyek intézése körében törvény keretei között önkormányzati jelképeket alkothat, helyi kitüntetéseket és</w:t>
      </w:r>
      <w:r>
        <w:t xml:space="preserve"> elismerő címeket alapíthat. A Magyarország címerének és </w:t>
      </w:r>
      <w:proofErr w:type="spellStart"/>
      <w:r>
        <w:t>zászlajának</w:t>
      </w:r>
      <w:proofErr w:type="spellEnd"/>
      <w:r>
        <w:t xml:space="preserve"> használatáról, valamint az állami kitüntetéseiről szóló 2011. évi CCII. törvény 24. § (9) bekezdésében felhatalmazást ad az önkormányzatok képviselő-testületének arra, hogy rendeletben sz</w:t>
      </w:r>
      <w:r>
        <w:t xml:space="preserve">abályozza az elismerés alapítását, az elismerés elnevezését, fajtáit, az elismerésben részesíthető személyek körét, az évente adományozható elismerések számát, az elismerés leírását, az adományozás feltételeit és rendjét, valamint az elismerés viselésének </w:t>
      </w:r>
      <w:r>
        <w:t>rendjét, továbbá a díjjal járó jutalom mértékét, formáját és járadék esetében annak időtartamát. Az elismerések adományozásának jogi kereteit a fent hivatkozott törvények, valamint az önkormányzati rendelet teremti meg. A kitüntetés célját, és az adományoz</w:t>
      </w:r>
      <w:r>
        <w:t>ható kitüntetések fajtáit határozzák meg az ide vonatkozó rendelkezések.</w:t>
      </w:r>
    </w:p>
    <w:p w:rsidR="00F57ED8" w:rsidRDefault="006E67CD" w:rsidP="006E67CD">
      <w:pPr>
        <w:pStyle w:val="Szvegtrzs"/>
        <w:spacing w:before="159" w:after="159" w:line="240" w:lineRule="auto"/>
        <w:jc w:val="center"/>
      </w:pPr>
      <w:r>
        <w:t>Részletes indokolás</w:t>
      </w:r>
      <w:bookmarkStart w:id="0" w:name="_GoBack"/>
      <w:bookmarkEnd w:id="0"/>
    </w:p>
    <w:p w:rsidR="00F57ED8" w:rsidRDefault="006E67CD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F57ED8" w:rsidRDefault="006E67CD" w:rsidP="006E67CD">
      <w:pPr>
        <w:pStyle w:val="Szvegtrzs"/>
        <w:spacing w:before="159" w:after="159" w:line="240" w:lineRule="auto"/>
        <w:ind w:right="-1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„Zalaszentgrót Város </w:t>
      </w:r>
      <w:proofErr w:type="spellStart"/>
      <w:r>
        <w:t>Díszpolgára</w:t>
      </w:r>
      <w:proofErr w:type="spellEnd"/>
      <w:r>
        <w:t xml:space="preserve">” kitüntető cím adományozása gyakoriságának, valamint a kitüntető cím darabszámának módosítását </w:t>
      </w:r>
      <w:r>
        <w:t>tartalmazza.</w:t>
      </w:r>
    </w:p>
    <w:p w:rsidR="00F57ED8" w:rsidRDefault="006E67CD" w:rsidP="006E67CD">
      <w:pPr>
        <w:spacing w:before="159" w:after="79"/>
        <w:ind w:right="-1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F57ED8" w:rsidRDefault="006E67CD" w:rsidP="006E67CD">
      <w:pPr>
        <w:pStyle w:val="Szvegtrzs"/>
        <w:spacing w:line="240" w:lineRule="auto"/>
        <w:ind w:right="-1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„Pro Urbe Zalaszentgrót” érdemérem adományozása gyakoriságának, valamint az érdemérem mellé járó pénzjutalom összegének módosítását tartalmazza.</w:t>
      </w:r>
    </w:p>
    <w:p w:rsidR="00F57ED8" w:rsidRDefault="006E67CD" w:rsidP="006E67CD">
      <w:pPr>
        <w:spacing w:before="159" w:after="79"/>
        <w:ind w:right="-1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F57ED8" w:rsidRDefault="006E67CD" w:rsidP="006E67CD">
      <w:pPr>
        <w:pStyle w:val="Szvegtrzs"/>
        <w:spacing w:before="159" w:after="159" w:line="240" w:lineRule="auto"/>
        <w:ind w:right="-1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„Zalaszentgrót Város Szolgálatáért</w:t>
      </w:r>
      <w:r>
        <w:t xml:space="preserve"> Díj” -ért járó pénzjutalom összegének módosítását tartalmazza.</w:t>
      </w:r>
    </w:p>
    <w:p w:rsidR="00F57ED8" w:rsidRDefault="006E67CD" w:rsidP="006E67CD">
      <w:pPr>
        <w:spacing w:before="159" w:after="79"/>
        <w:ind w:right="-1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F57ED8" w:rsidRDefault="006E67CD" w:rsidP="006E67CD">
      <w:pPr>
        <w:pStyle w:val="Szvegtrzs"/>
        <w:spacing w:line="240" w:lineRule="auto"/>
        <w:ind w:right="-1"/>
        <w:jc w:val="both"/>
      </w:pPr>
      <w:r>
        <w:t>A rendelet 4. §-a rendelet hatálybalépéséről és annak hatályon kívül helyezéséről rendelkezik.</w:t>
      </w:r>
    </w:p>
    <w:sectPr w:rsidR="00F57ED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E67CD">
      <w:r>
        <w:separator/>
      </w:r>
    </w:p>
  </w:endnote>
  <w:endnote w:type="continuationSeparator" w:id="0">
    <w:p w:rsidR="00000000" w:rsidRDefault="006E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ED8" w:rsidRDefault="006E67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ED8" w:rsidRDefault="006E67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E67CD">
      <w:r>
        <w:separator/>
      </w:r>
    </w:p>
  </w:footnote>
  <w:footnote w:type="continuationSeparator" w:id="0">
    <w:p w:rsidR="00000000" w:rsidRDefault="006E6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C4FC7"/>
    <w:multiLevelType w:val="multilevel"/>
    <w:tmpl w:val="B16AB62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6E67CD"/>
    <w:rsid w:val="00A20935"/>
    <w:rsid w:val="00F5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22A7"/>
  <w15:docId w15:val="{E5925F17-FA0D-498E-8543-77136146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2025-06-16T07:00:00Z</dcterms:created>
  <dcterms:modified xsi:type="dcterms:W3CDTF">2025-06-16T07:01:00Z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