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80" w:rsidRPr="00476280" w:rsidRDefault="001E3057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62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Tárgy:</w:t>
      </w:r>
      <w:r w:rsidRPr="00BC62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0A43" w:rsidRPr="00010A43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2024. június 9. napjára kitűzött helyi önkormányzati képviselő- és polgármester-választáson</w:t>
      </w:r>
      <w:bookmarkStart w:id="0" w:name="_Hlk166573012"/>
      <w:r w:rsid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6280"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egyéni listás képviselőjelöltekre vonatkozó szavazólap adattartalmának ellenőrzése és jóváhagyása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bookmarkStart w:id="1" w:name="_Hlk166573265"/>
      <w:r w:rsidRPr="004762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13/2024. (V. 14.) számú HVB határozat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Tekenyei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</w:t>
      </w: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választási eljárásról szóló 2013. évi XXXVI. törvény (a továbbiakban: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162. § (1) bekezdése alapján a helyi önkormányzati képviselők és polgármesterek 2024. évi választásán </w:t>
      </w:r>
      <w:r w:rsidRPr="00476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476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tekenyei</w:t>
      </w:r>
      <w:proofErr w:type="spellEnd"/>
      <w:r w:rsidRPr="00476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egyéni listás képviselőjelöltek szavazólapjának adattartalmát leellenőrizte, a mellékelt MINTA szavazólap szerint jóváhagyja, „NYOMTATHATÓ” jelzéssel és hitelesítéssel látja el.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választási bizottságnak a szavazólap adattartalmának jóváhagyásával kapcsolatos határozata ellen 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240. § (1) bekezdése alapján nincs helye fellebbezésnek. A határozat elleni bírósági felülvizsgálati kérelmet a Kúriához lehet benyújtani 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Tekenyei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Helyi Választási Bizottságnál személyesen, levélben vagy elektronikus levélben 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előterjesztve </w:t>
      </w: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úgy, hogy 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az a határozat meghozatalát követő napon - legkésőbb 2024. május 17-én 16.00 óráig - megérkezzen. A határidő jogvesztő. A Kúria a bírósági felülvizsgálati kérelemről legkésőbb a felterjesztését követő napon dönt.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bírósági felülvizsgálati kérelmet személyesen vagy levélben (8790 Zalaszentgrót, Dózsa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u. 1.), illetőleg olyan elektronikus dokumentumként (e-mail: </w:t>
      </w:r>
      <w:hyperlink r:id="rId7" w:history="1">
        <w:r w:rsidRPr="00476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jegyzo@zalaszentgrot.hu</w:t>
        </w:r>
      </w:hyperlink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, titkarsag@zalaszentgrot.hu) lehet benyújtani, amelyet a kérelem benyújtójának jogi képviselője vagy a jogi szakvizsgával rendelkező személy saját ügyében a minősített elektronikus aláírásával látott el. Ha a bírósági felülvizsgálat iránti kérelem elektronikus dokumentumként kerül benyújtásra, annak mellékleteit a kérelmező oldalhű másolatban elektronikus okirati formába alakítja.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Bírósági felülvizsgálati kérelmet az ügyben érintett természetes személy, jogi személy vagy jogi személyiség nélküli szervezet nyújthat be. Nem nyújthat be bírósági felülvizsgálati kérelmet 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Tekenyei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Helyi Választási Bizottság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 tagja.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bírósági felülvizsgálati kérelemnek tartalmaznia kell a kérelemnek 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762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4762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223. § (3) bekezdése</w:t>
      </w:r>
      <w:r w:rsidRPr="004762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szerinti alapját, a kérelem benyújtójának nevét, lakcímét (székhelyét); a kérelem benyújtójának személyi azonosítóját, </w:t>
      </w:r>
      <w:proofErr w:type="gram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</w:t>
      </w:r>
      <w:proofErr w:type="gram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külföldön élő,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bírósági felülvizsgálati kérelem tartalmazhatja benyújtójának </w:t>
      </w:r>
      <w:proofErr w:type="gram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levélcímét,</w:t>
      </w:r>
      <w:proofErr w:type="gram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postai értesítési címét.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A bírósági felülvizsgálati eljárásban az ügyvédi képviselet kötelező. A jogi szakvizsgával rendelkező személy - a szakvizsga-bizonyítvány egyszerű másolatának csatolásával - saját ügyében ügyvédi képviselet nélkül is eljárhat.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bírósági felülvizsgálati kérelemben új tények és bizonyítékok is felhozhatók. 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INDOKOLÁS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162. § (1) bekezdése alapján a szavazólap adattartalmát a választási bizottság hagyja jóvá azt követően, hogy valamennyi bejelentett jelölt nyilvántartásba-vétele tárgyában határozatot hozott. 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162. § (2) bekezdése alapján, ha a szavazólap adattartalmának jóváhagyását követően - jogorvoslati döntés vagy a nyilvántartásból való törlés következtében - megváltozik a szavazólap adattartalma, a választási bizottság újabb jóváhagyására nincs szükség, a választási iroda gondoskodik a változások átvezetéséről a szavazólapon, és erről tájékoztatja a jelölő szervezeteket és a független jelölteket. 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Európai Parlament tagjai, a helyi önkormányzati képviselők és polgármesterek, valamint a nemzetiségi önkormányzati képviselők közös eljárásban lebonyolított 2024. évi általános választásán a választási irodák hatáskörébe tartozó feladatok végrehajtásának részletes szabályairól, a választási eredmény országosan összesített adatai körének megállapításáról, a fővárosi és vármegyei kormányhivatal választásokkal összefüggő informatikai feladatai ellátásának részletes szabályairól, valamint a közös eljárásban használandó nyomtatványokról szóló 2/2024. ( III.11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.) IM rendelet (a továbbiakban: 2/2024. (III. 11.) IM rendelet) 7</w:t>
      </w: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§ (2) bekezdés n) pontja alapján 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választási iroda - a </w:t>
      </w:r>
      <w:hyperlink r:id="rId8" w:anchor="sid256" w:tgtFrame="_blank" w:history="1">
        <w:proofErr w:type="spellStart"/>
        <w:r w:rsidRPr="00476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Ve</w:t>
        </w:r>
        <w:proofErr w:type="spellEnd"/>
        <w:r w:rsidRPr="00476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.</w:t>
        </w:r>
      </w:hyperlink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-ben foglalt feladatain túl - előterjeszti a helyi választási bizottság részére az egyéni listás szavazólap tervezetét annak adattartalma jóváhagyása céljából.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156. § (1) bekezdése alapján az egyéni szavazólap alap-adattartalmát az 5. melléklet állapítja meg. 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Tekenyei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 a Zalaszentgróti Helyi Választási Iroda által előterjesztett szavazólap tervezete alapján megállapította, hogy a helyi önkormányzati képviselők és polgármesterek 2024. évi választásán 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tekenyei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egyéni listás képviselőjelöltek szavazólapjának adattartalma 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5. mellékletében meghatározott elemeknek megfelel. Az adatok a nyilvántartásba vett egyéni listás képviselőjelöltek, valamint a jelölő szervetek által a bejelentéskor közölt adatokkal egyezően, helyesen szerepelnek. 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 alapján a </w:t>
      </w:r>
      <w:proofErr w:type="spellStart"/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Tekenyei</w:t>
      </w:r>
      <w:proofErr w:type="spellEnd"/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Helyi Választási Bizottság a szavazólap adattartalmát a határozat mellékletével megegyező tartalommal egyhangúlag jóváhagyta.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44. § (1) bekezdése szerint a választási bizottság az ügy érdemében határozatot hoz.</w:t>
      </w: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76280" w:rsidRPr="00476280" w:rsidRDefault="00476280" w:rsidP="00476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határozat a </w:t>
      </w:r>
      <w:proofErr w:type="spellStart"/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1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56-159. §-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ain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162. §-án, a 2/2024. (III. 11.) IM rendelet </w:t>
      </w: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7. § (2) bekezdés n) pontján</w:t>
      </w:r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jogorvoslati lehetőségről való tájékoztatás a 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. 10. § (3) bekezdésén, a 222-225. §-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ain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239-240. §-</w:t>
      </w:r>
      <w:proofErr w:type="spellStart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>ain</w:t>
      </w:r>
      <w:proofErr w:type="spellEnd"/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illetékekről szóló 1990. évi XCIII. törvény 62. § (1) bekezdés </w:t>
      </w:r>
      <w:hyperlink r:id="rId9" w:anchor="sid675072" w:tgtFrame="_blank" w:history="1">
        <w:r w:rsidRPr="00476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s) pont</w:t>
        </w:r>
      </w:hyperlink>
      <w:r w:rsidRPr="0047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ján </w:t>
      </w:r>
      <w:r w:rsidRPr="004762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alapul.</w:t>
      </w:r>
    </w:p>
    <w:bookmarkEnd w:id="1"/>
    <w:bookmarkEnd w:id="0"/>
    <w:p w:rsidR="001E3057" w:rsidRPr="002E5247" w:rsidRDefault="001E3057" w:rsidP="001E3057">
      <w:pPr>
        <w:pStyle w:val="Default"/>
      </w:pPr>
    </w:p>
    <w:p w:rsidR="001E3057" w:rsidRPr="00F358EE" w:rsidRDefault="002E5247" w:rsidP="001E3057">
      <w:pPr>
        <w:pStyle w:val="Default"/>
      </w:pPr>
      <w:r w:rsidRPr="002E5247">
        <w:t>Zalaszentgrót</w:t>
      </w:r>
      <w:r w:rsidR="001E3057" w:rsidRPr="002E5247">
        <w:t xml:space="preserve">, 2024. </w:t>
      </w:r>
      <w:r w:rsidR="00873897">
        <w:t xml:space="preserve">május </w:t>
      </w:r>
      <w:r w:rsidR="00476280">
        <w:t>14.</w:t>
      </w:r>
      <w:bookmarkStart w:id="2" w:name="_GoBack"/>
      <w:bookmarkEnd w:id="2"/>
      <w:r w:rsidR="001E3057" w:rsidRPr="00F358EE">
        <w:t xml:space="preserve"> </w:t>
      </w:r>
    </w:p>
    <w:p w:rsidR="001E3057" w:rsidRPr="00F358EE" w:rsidRDefault="001E3057" w:rsidP="001E3057">
      <w:pPr>
        <w:pStyle w:val="Default"/>
      </w:pPr>
    </w:p>
    <w:p w:rsidR="001E3057" w:rsidRDefault="001E3057" w:rsidP="001E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3057" w:rsidTr="00BC625F">
        <w:trPr>
          <w:trHeight w:val="148"/>
        </w:trPr>
        <w:tc>
          <w:tcPr>
            <w:tcW w:w="4531" w:type="dxa"/>
          </w:tcPr>
          <w:p w:rsidR="001E3057" w:rsidRDefault="001E3057" w:rsidP="00AC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1E3057" w:rsidRDefault="002E5247" w:rsidP="00AC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Attiláné</w:t>
            </w:r>
          </w:p>
          <w:p w:rsidR="001E3057" w:rsidRDefault="001E3057" w:rsidP="00AC4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HVB elnök</w:t>
            </w:r>
          </w:p>
        </w:tc>
      </w:tr>
    </w:tbl>
    <w:p w:rsidR="001E3057" w:rsidRPr="00F358EE" w:rsidRDefault="001E3057" w:rsidP="001E3057">
      <w:pPr>
        <w:pStyle w:val="Default"/>
        <w:jc w:val="center"/>
      </w:pPr>
    </w:p>
    <w:p w:rsidR="005414A1" w:rsidRDefault="005414A1"/>
    <w:sectPr w:rsidR="005414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EF" w:rsidRDefault="00615A16">
      <w:pPr>
        <w:spacing w:after="0" w:line="240" w:lineRule="auto"/>
      </w:pPr>
      <w:r>
        <w:separator/>
      </w:r>
    </w:p>
  </w:endnote>
  <w:endnote w:type="continuationSeparator" w:id="0">
    <w:p w:rsidR="004E2AEF" w:rsidRDefault="0061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EF" w:rsidRDefault="00615A16">
      <w:pPr>
        <w:spacing w:after="0" w:line="240" w:lineRule="auto"/>
      </w:pPr>
      <w:r>
        <w:separator/>
      </w:r>
    </w:p>
  </w:footnote>
  <w:footnote w:type="continuationSeparator" w:id="0">
    <w:p w:rsidR="004E2AEF" w:rsidRDefault="0061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91" w:rsidRDefault="002E5247" w:rsidP="00BE7191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TEKENYEI</w:t>
    </w:r>
    <w:r w:rsidR="001023CF">
      <w:rPr>
        <w:rFonts w:ascii="Times New Roman" w:hAnsi="Times New Roman" w:cs="Times New Roman"/>
        <w:b/>
        <w:sz w:val="24"/>
        <w:szCs w:val="24"/>
      </w:rPr>
      <w:t xml:space="preserve"> HELYI VÁLASZTÁSI BIZOTTSÁG</w:t>
    </w:r>
  </w:p>
  <w:p w:rsidR="00BE7191" w:rsidRDefault="001023CF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8790 Zalaszentgrót Dózsa György utca 1.</w:t>
    </w:r>
  </w:p>
  <w:p w:rsidR="00BE7191" w:rsidRDefault="001023CF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>
        <w:rPr>
          <w:rStyle w:val="Hiperhivatkozs"/>
          <w:rFonts w:ascii="Times New Roman" w:hAnsi="Times New Roman" w:cs="Times New Roman"/>
          <w:sz w:val="24"/>
          <w:szCs w:val="24"/>
        </w:rPr>
        <w:t>titkarsag@zalaszentgrot.hu</w:t>
      </w:r>
    </w:hyperlink>
  </w:p>
  <w:p w:rsidR="00BE7191" w:rsidRDefault="001023CF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honlap: </w:t>
    </w:r>
    <w:hyperlink r:id="rId2" w:history="1">
      <w:r>
        <w:rPr>
          <w:rStyle w:val="Hiperhivatkozs"/>
          <w:rFonts w:ascii="Times New Roman" w:hAnsi="Times New Roman" w:cs="Times New Roman"/>
          <w:sz w:val="24"/>
          <w:szCs w:val="24"/>
        </w:rPr>
        <w:t>www.zalaszentgrot.hu</w:t>
      </w:r>
    </w:hyperlink>
  </w:p>
  <w:p w:rsidR="00BE7191" w:rsidRDefault="004762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85D96"/>
    <w:multiLevelType w:val="hybridMultilevel"/>
    <w:tmpl w:val="97422446"/>
    <w:lvl w:ilvl="0" w:tplc="F27C46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BB1656"/>
    <w:multiLevelType w:val="hybridMultilevel"/>
    <w:tmpl w:val="4A864DA8"/>
    <w:lvl w:ilvl="0" w:tplc="EB526FE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E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C7B11"/>
    <w:multiLevelType w:val="hybridMultilevel"/>
    <w:tmpl w:val="B7CED316"/>
    <w:lvl w:ilvl="0" w:tplc="6DC2262C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57"/>
    <w:rsid w:val="00010A43"/>
    <w:rsid w:val="001023CF"/>
    <w:rsid w:val="001E3057"/>
    <w:rsid w:val="002E5247"/>
    <w:rsid w:val="00476280"/>
    <w:rsid w:val="004E2AEF"/>
    <w:rsid w:val="005331C1"/>
    <w:rsid w:val="005414A1"/>
    <w:rsid w:val="00615A16"/>
    <w:rsid w:val="006326DD"/>
    <w:rsid w:val="00873897"/>
    <w:rsid w:val="00A77C61"/>
    <w:rsid w:val="00AA3C0B"/>
    <w:rsid w:val="00B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2286"/>
  <w15:chartTrackingRefBased/>
  <w15:docId w15:val="{F778E6F0-FAA3-48A1-A78C-EDC670C7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E305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E3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E305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E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3057"/>
  </w:style>
  <w:style w:type="paragraph" w:customStyle="1" w:styleId="uj">
    <w:name w:val="uj"/>
    <w:basedOn w:val="Norml"/>
    <w:rsid w:val="001E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1E3057"/>
  </w:style>
  <w:style w:type="table" w:styleId="Rcsostblzat">
    <w:name w:val="Table Grid"/>
    <w:basedOn w:val="Normltblzat"/>
    <w:uiPriority w:val="39"/>
    <w:rsid w:val="001E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2E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5247"/>
  </w:style>
  <w:style w:type="character" w:styleId="Feloldatlanmegemlts">
    <w:name w:val="Unresolved Mention"/>
    <w:basedOn w:val="Bekezdsalapbettpusa"/>
    <w:uiPriority w:val="99"/>
    <w:semiHidden/>
    <w:unhideWhenUsed/>
    <w:rsid w:val="0001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22567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gyzo@zalaszentgro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ten.hu/loadpage.php?dest=OISZ&amp;twhich=198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laszentgrot.hu" TargetMode="External"/><Relationship Id="rId1" Type="http://schemas.openxmlformats.org/officeDocument/2006/relationships/hyperlink" Target="mailto:titkarsag@zalaszentgro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dcterms:created xsi:type="dcterms:W3CDTF">2024-05-07T07:54:00Z</dcterms:created>
  <dcterms:modified xsi:type="dcterms:W3CDTF">2024-05-14T08:22:00Z</dcterms:modified>
</cp:coreProperties>
</file>